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9CBA"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4509DECF" w14:textId="0C8EE4D8" w:rsidR="00E3327F" w:rsidRPr="00411803" w:rsidRDefault="00E3327F" w:rsidP="00E3327F">
      <w:pPr>
        <w:ind w:left="-810"/>
        <w:rPr>
          <w:sz w:val="24"/>
          <w:szCs w:val="24"/>
        </w:rPr>
      </w:pPr>
      <w:r w:rsidRPr="00411803">
        <w:rPr>
          <w:sz w:val="24"/>
          <w:szCs w:val="24"/>
        </w:rPr>
        <w:t>Inconsistency among services on how capital project funding is held prior to the project pay out (restricted vs. equity).</w:t>
      </w:r>
      <w:r w:rsidR="00653E4B" w:rsidRPr="00411803">
        <w:rPr>
          <w:sz w:val="24"/>
          <w:szCs w:val="24"/>
        </w:rPr>
        <w:t xml:space="preserve"> Since this issue was discussed verbally at early Working Group meetings, each Service’s precise positions and concerns were not available and thus are not document</w:t>
      </w:r>
      <w:r w:rsidR="00D73931" w:rsidRPr="00411803">
        <w:rPr>
          <w:sz w:val="24"/>
          <w:szCs w:val="24"/>
        </w:rPr>
        <w:t>ed</w:t>
      </w:r>
      <w:r w:rsidR="00653E4B" w:rsidRPr="00411803">
        <w:rPr>
          <w:sz w:val="24"/>
          <w:szCs w:val="24"/>
        </w:rPr>
        <w:t>. However, it was noted that the Services had verbally concurred with the recommendations at the time of these discussions</w:t>
      </w:r>
      <w:r w:rsidR="005B142B">
        <w:rPr>
          <w:sz w:val="24"/>
          <w:szCs w:val="24"/>
        </w:rPr>
        <w:t xml:space="preserve"> in 2014</w:t>
      </w:r>
      <w:r w:rsidR="00653E4B" w:rsidRPr="00411803">
        <w:rPr>
          <w:sz w:val="24"/>
          <w:szCs w:val="24"/>
        </w:rPr>
        <w:t xml:space="preserve">. </w:t>
      </w:r>
    </w:p>
    <w:p w14:paraId="2FB95CEF" w14:textId="77777777" w:rsidR="00586697" w:rsidRPr="00411803" w:rsidRDefault="00586697" w:rsidP="00586697">
      <w:pPr>
        <w:pStyle w:val="Heading1"/>
        <w:tabs>
          <w:tab w:val="left" w:pos="6675"/>
        </w:tabs>
        <w:ind w:left="-1710"/>
        <w:rPr>
          <w:rFonts w:ascii="Garamond" w:hAnsi="Garamond"/>
          <w:bCs w:val="0"/>
          <w:color w:val="auto"/>
          <w:kern w:val="0"/>
          <w:sz w:val="24"/>
          <w:szCs w:val="24"/>
        </w:rPr>
      </w:pPr>
    </w:p>
    <w:p w14:paraId="752F10AB" w14:textId="77777777" w:rsidR="002479EF" w:rsidRPr="00411803" w:rsidRDefault="002479EF" w:rsidP="00586697">
      <w:pPr>
        <w:pStyle w:val="Heading1"/>
        <w:tabs>
          <w:tab w:val="left" w:pos="6675"/>
        </w:tabs>
        <w:ind w:left="-1980"/>
        <w:rPr>
          <w:sz w:val="24"/>
          <w:szCs w:val="24"/>
        </w:rPr>
      </w:pPr>
      <w:r w:rsidRPr="00411803">
        <w:rPr>
          <w:sz w:val="24"/>
          <w:szCs w:val="24"/>
        </w:rPr>
        <w:t>Research</w:t>
      </w:r>
    </w:p>
    <w:p w14:paraId="545C1E0C" w14:textId="4EAA864C" w:rsidR="00653E4B" w:rsidRPr="00411803" w:rsidRDefault="002479EF" w:rsidP="00D73931">
      <w:pPr>
        <w:ind w:left="-810"/>
      </w:pPr>
      <w:r w:rsidRPr="00411803">
        <w:rPr>
          <w:sz w:val="24"/>
          <w:szCs w:val="24"/>
        </w:rPr>
        <w:t xml:space="preserve">Below outlines the </w:t>
      </w:r>
      <w:r w:rsidR="0082463C" w:rsidRPr="00411803">
        <w:rPr>
          <w:sz w:val="24"/>
          <w:szCs w:val="24"/>
        </w:rPr>
        <w:t xml:space="preserve">current treatment </w:t>
      </w:r>
      <w:r w:rsidR="005C5121" w:rsidRPr="00411803">
        <w:rPr>
          <w:sz w:val="24"/>
          <w:szCs w:val="24"/>
        </w:rPr>
        <w:t xml:space="preserve">of </w:t>
      </w:r>
      <w:r w:rsidR="0082463C" w:rsidRPr="00411803">
        <w:rPr>
          <w:sz w:val="24"/>
          <w:szCs w:val="24"/>
        </w:rPr>
        <w:t>how</w:t>
      </w:r>
      <w:r w:rsidRPr="00411803">
        <w:rPr>
          <w:sz w:val="24"/>
          <w:szCs w:val="24"/>
        </w:rPr>
        <w:t xml:space="preserve"> each service complies and what the regulations, accounting guidance and indus</w:t>
      </w:r>
      <w:r w:rsidR="00726EC1" w:rsidRPr="00411803">
        <w:rPr>
          <w:sz w:val="24"/>
          <w:szCs w:val="24"/>
        </w:rPr>
        <w:t>try standards are for this area</w:t>
      </w:r>
      <w:r w:rsidR="00D73931" w:rsidRPr="00411803">
        <w:rPr>
          <w:sz w:val="24"/>
          <w:szCs w:val="24"/>
        </w:rPr>
        <w:t xml:space="preserve">. </w:t>
      </w:r>
    </w:p>
    <w:tbl>
      <w:tblPr>
        <w:tblStyle w:val="LightGrid"/>
        <w:tblpPr w:leftFromText="180" w:rightFromText="180" w:vertAnchor="text" w:horzAnchor="page" w:tblpX="939" w:tblpY="345"/>
        <w:tblW w:w="14789" w:type="dxa"/>
        <w:tblLayout w:type="fixed"/>
        <w:tblLook w:val="04A0" w:firstRow="1" w:lastRow="0" w:firstColumn="1" w:lastColumn="0" w:noHBand="0" w:noVBand="1"/>
      </w:tblPr>
      <w:tblGrid>
        <w:gridCol w:w="7280"/>
        <w:gridCol w:w="1800"/>
        <w:gridCol w:w="1800"/>
        <w:gridCol w:w="1919"/>
        <w:gridCol w:w="1990"/>
      </w:tblGrid>
      <w:tr w:rsidR="00945F67" w:rsidRPr="00655FDE" w14:paraId="0F0B966E" w14:textId="77777777" w:rsidTr="00F97F3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80" w:type="dxa"/>
            <w:shd w:val="clear" w:color="auto" w:fill="000000" w:themeFill="text1"/>
            <w:vAlign w:val="center"/>
          </w:tcPr>
          <w:p w14:paraId="1033E50B" w14:textId="132A136F" w:rsidR="00945F67" w:rsidRPr="000417AF" w:rsidRDefault="00BB6067" w:rsidP="00BB6067">
            <w:pPr>
              <w:jc w:val="center"/>
              <w:rPr>
                <w:szCs w:val="26"/>
              </w:rPr>
            </w:pPr>
            <w:r>
              <w:rPr>
                <w:szCs w:val="26"/>
              </w:rPr>
              <w:t>Capital Project Accounting</w:t>
            </w:r>
            <w:r w:rsidR="00945F67" w:rsidRPr="000417AF">
              <w:rPr>
                <w:szCs w:val="26"/>
              </w:rPr>
              <w:t xml:space="preserve"> Guidelines</w:t>
            </w:r>
          </w:p>
        </w:tc>
        <w:tc>
          <w:tcPr>
            <w:tcW w:w="1800" w:type="dxa"/>
            <w:shd w:val="clear" w:color="auto" w:fill="000000" w:themeFill="text1"/>
            <w:vAlign w:val="center"/>
          </w:tcPr>
          <w:p w14:paraId="31E6A051"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Air Force</w:t>
            </w:r>
          </w:p>
        </w:tc>
        <w:tc>
          <w:tcPr>
            <w:tcW w:w="1800" w:type="dxa"/>
            <w:shd w:val="clear" w:color="auto" w:fill="000000" w:themeFill="text1"/>
            <w:vAlign w:val="center"/>
          </w:tcPr>
          <w:p w14:paraId="77A0FFED"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Army</w:t>
            </w:r>
          </w:p>
        </w:tc>
        <w:tc>
          <w:tcPr>
            <w:tcW w:w="1919" w:type="dxa"/>
            <w:shd w:val="clear" w:color="auto" w:fill="000000" w:themeFill="text1"/>
            <w:vAlign w:val="center"/>
          </w:tcPr>
          <w:p w14:paraId="76872E01"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Navy</w:t>
            </w:r>
          </w:p>
        </w:tc>
        <w:tc>
          <w:tcPr>
            <w:tcW w:w="1990" w:type="dxa"/>
            <w:shd w:val="clear" w:color="auto" w:fill="000000" w:themeFill="text1"/>
            <w:vAlign w:val="center"/>
          </w:tcPr>
          <w:p w14:paraId="3AFCCB2F"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Marines</w:t>
            </w:r>
          </w:p>
        </w:tc>
      </w:tr>
      <w:tr w:rsidR="00FB67C4" w:rsidRPr="00655FDE" w14:paraId="6AFF072E" w14:textId="77777777" w:rsidTr="00726EC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80" w:type="dxa"/>
          </w:tcPr>
          <w:p w14:paraId="79ABDAAB" w14:textId="1D839909" w:rsidR="00FB67C4" w:rsidRPr="00411803" w:rsidRDefault="00FB67C4" w:rsidP="00FB67C4">
            <w:pPr>
              <w:autoSpaceDE w:val="0"/>
              <w:autoSpaceDN w:val="0"/>
              <w:adjustRightInd w:val="0"/>
              <w:rPr>
                <w:rFonts w:asciiTheme="minorHAnsi" w:hAnsiTheme="minorHAnsi" w:cs="Times New Roman"/>
                <w:bCs w:val="0"/>
                <w:szCs w:val="24"/>
              </w:rPr>
            </w:pPr>
            <w:r w:rsidRPr="00411803">
              <w:rPr>
                <w:rFonts w:asciiTheme="minorHAnsi" w:hAnsiTheme="minorHAnsi"/>
                <w:szCs w:val="24"/>
              </w:rPr>
              <w:t>DoDI 1015.10</w:t>
            </w:r>
            <w:r w:rsidRPr="00411803">
              <w:rPr>
                <w:rFonts w:asciiTheme="minorHAnsi" w:hAnsiTheme="minorHAnsi" w:cs="Times New Roman"/>
                <w:szCs w:val="24"/>
              </w:rPr>
              <w:t xml:space="preserve"> and DoDI 1015.15: </w:t>
            </w:r>
            <w:r w:rsidRPr="00411803">
              <w:rPr>
                <w:rFonts w:asciiTheme="minorHAnsi" w:hAnsiTheme="minorHAnsi" w:cs="Times New Roman"/>
                <w:b w:val="0"/>
                <w:szCs w:val="24"/>
              </w:rPr>
              <w:t xml:space="preserve"> Silent on treatment</w:t>
            </w:r>
          </w:p>
        </w:tc>
        <w:tc>
          <w:tcPr>
            <w:tcW w:w="1800" w:type="dxa"/>
          </w:tcPr>
          <w:p w14:paraId="50F0D851" w14:textId="73C73B58" w:rsidR="00FB67C4" w:rsidRPr="00411803" w:rsidRDefault="00FB67C4" w:rsidP="00FB67C4">
            <w:pPr>
              <w:cnfStyle w:val="000000100000" w:firstRow="0" w:lastRow="0" w:firstColumn="0" w:lastColumn="0" w:oddVBand="0" w:evenVBand="0" w:oddHBand="1" w:evenHBand="0" w:firstRowFirstColumn="0" w:firstRowLastColumn="0" w:lastRowFirstColumn="0" w:lastRowLastColumn="0"/>
            </w:pPr>
            <w:r w:rsidRPr="00411803">
              <w:t>N/A</w:t>
            </w:r>
          </w:p>
        </w:tc>
        <w:tc>
          <w:tcPr>
            <w:tcW w:w="1800" w:type="dxa"/>
          </w:tcPr>
          <w:p w14:paraId="42A7818E" w14:textId="57A24487" w:rsidR="00FB67C4" w:rsidRPr="00411803" w:rsidRDefault="00FB67C4" w:rsidP="00FB67C4">
            <w:pPr>
              <w:cnfStyle w:val="000000100000" w:firstRow="0" w:lastRow="0" w:firstColumn="0" w:lastColumn="0" w:oddVBand="0" w:evenVBand="0" w:oddHBand="1" w:evenHBand="0" w:firstRowFirstColumn="0" w:firstRowLastColumn="0" w:lastRowFirstColumn="0" w:lastRowLastColumn="0"/>
            </w:pPr>
            <w:r w:rsidRPr="00411803">
              <w:t>N/A</w:t>
            </w:r>
          </w:p>
        </w:tc>
        <w:tc>
          <w:tcPr>
            <w:tcW w:w="1919" w:type="dxa"/>
          </w:tcPr>
          <w:p w14:paraId="2F21EE2B" w14:textId="35677C0B" w:rsidR="00FB67C4" w:rsidRPr="00411803" w:rsidRDefault="00FB67C4" w:rsidP="00FB67C4">
            <w:pPr>
              <w:cnfStyle w:val="000000100000" w:firstRow="0" w:lastRow="0" w:firstColumn="0" w:lastColumn="0" w:oddVBand="0" w:evenVBand="0" w:oddHBand="1" w:evenHBand="0" w:firstRowFirstColumn="0" w:firstRowLastColumn="0" w:lastRowFirstColumn="0" w:lastRowLastColumn="0"/>
            </w:pPr>
            <w:r w:rsidRPr="00411803">
              <w:t>N/A</w:t>
            </w:r>
          </w:p>
        </w:tc>
        <w:tc>
          <w:tcPr>
            <w:tcW w:w="1990" w:type="dxa"/>
          </w:tcPr>
          <w:p w14:paraId="43BAA955" w14:textId="6C686152" w:rsidR="00FB67C4" w:rsidRPr="00411803" w:rsidRDefault="00FB67C4" w:rsidP="00FB67C4">
            <w:pPr>
              <w:cnfStyle w:val="000000100000" w:firstRow="0" w:lastRow="0" w:firstColumn="0" w:lastColumn="0" w:oddVBand="0" w:evenVBand="0" w:oddHBand="1" w:evenHBand="0" w:firstRowFirstColumn="0" w:firstRowLastColumn="0" w:lastRowFirstColumn="0" w:lastRowLastColumn="0"/>
            </w:pPr>
            <w:r w:rsidRPr="00411803">
              <w:t>N/A</w:t>
            </w:r>
          </w:p>
        </w:tc>
      </w:tr>
      <w:tr w:rsidR="00EA5495" w:rsidRPr="00655FDE" w14:paraId="13C6B6B8" w14:textId="77777777" w:rsidTr="00F97F3F">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280" w:type="dxa"/>
          </w:tcPr>
          <w:p w14:paraId="26CC0B9A" w14:textId="40E96CC7" w:rsidR="00726EC1" w:rsidRPr="00411803" w:rsidRDefault="00EA5495" w:rsidP="00726EC1">
            <w:pPr>
              <w:rPr>
                <w:rFonts w:asciiTheme="minorHAnsi" w:hAnsiTheme="minorHAnsi"/>
              </w:rPr>
            </w:pPr>
            <w:r w:rsidRPr="00411803">
              <w:rPr>
                <w:rFonts w:asciiTheme="minorHAnsi" w:hAnsiTheme="minorHAnsi"/>
              </w:rPr>
              <w:t xml:space="preserve">FMR Volume 4, Chapter </w:t>
            </w:r>
            <w:r w:rsidR="00726EC1" w:rsidRPr="00411803">
              <w:rPr>
                <w:rFonts w:asciiTheme="minorHAnsi" w:hAnsiTheme="minorHAnsi"/>
              </w:rPr>
              <w:t>1</w:t>
            </w:r>
            <w:r w:rsidR="006950EF">
              <w:rPr>
                <w:rFonts w:asciiTheme="minorHAnsi" w:hAnsiTheme="minorHAnsi"/>
              </w:rPr>
              <w:t>. 010303. Restricted Cash:</w:t>
            </w:r>
          </w:p>
          <w:p w14:paraId="7CE5E9B5" w14:textId="77777777" w:rsidR="00726EC1" w:rsidRPr="00411803" w:rsidRDefault="00726EC1" w:rsidP="00726EC1">
            <w:pPr>
              <w:rPr>
                <w:rFonts w:asciiTheme="minorHAnsi" w:hAnsiTheme="minorHAnsi"/>
                <w:b w:val="0"/>
              </w:rPr>
            </w:pPr>
            <w:r w:rsidRPr="00411803">
              <w:rPr>
                <w:rFonts w:asciiTheme="minorHAnsi" w:hAnsiTheme="minorHAnsi"/>
                <w:b w:val="0"/>
              </w:rPr>
              <w:t>Restrictions are usually imposed on cash deposits by law, regulation, or agreement.</w:t>
            </w:r>
          </w:p>
          <w:p w14:paraId="00441A5A" w14:textId="6F26CD24" w:rsidR="00EA5495" w:rsidRPr="00411803" w:rsidRDefault="00726EC1" w:rsidP="00726EC1">
            <w:pPr>
              <w:rPr>
                <w:rFonts w:asciiTheme="minorHAnsi" w:hAnsiTheme="minorHAnsi"/>
                <w:b w:val="0"/>
              </w:rPr>
            </w:pPr>
            <w:r w:rsidRPr="00411803">
              <w:rPr>
                <w:rFonts w:asciiTheme="minorHAnsi" w:hAnsiTheme="minorHAnsi"/>
                <w:b w:val="0"/>
              </w:rPr>
              <w:t>Nonentity cash is always restricted cash. Entity cash may be restricted for specific purposes. Such cash may be in escrow or other special accounts. Financial reports should disclose the reasons</w:t>
            </w:r>
            <w:r w:rsidR="00411803" w:rsidRPr="00411803">
              <w:rPr>
                <w:rFonts w:asciiTheme="minorHAnsi" w:hAnsiTheme="minorHAnsi"/>
                <w:b w:val="0"/>
              </w:rPr>
              <w:t xml:space="preserve"> and nature of restrictions.</w:t>
            </w:r>
          </w:p>
        </w:tc>
        <w:tc>
          <w:tcPr>
            <w:tcW w:w="1800" w:type="dxa"/>
          </w:tcPr>
          <w:p w14:paraId="4FB39941" w14:textId="1AC2B3B3" w:rsidR="00EA5495" w:rsidRPr="00411803" w:rsidRDefault="00F97F3F" w:rsidP="00945F67">
            <w:pPr>
              <w:cnfStyle w:val="000000010000" w:firstRow="0" w:lastRow="0" w:firstColumn="0" w:lastColumn="0" w:oddVBand="0" w:evenVBand="0" w:oddHBand="0" w:evenHBand="1" w:firstRowFirstColumn="0" w:firstRowLastColumn="0" w:lastRowFirstColumn="0" w:lastRowLastColumn="0"/>
            </w:pPr>
            <w:r w:rsidRPr="00411803">
              <w:t>Unclear</w:t>
            </w:r>
          </w:p>
        </w:tc>
        <w:tc>
          <w:tcPr>
            <w:tcW w:w="1800" w:type="dxa"/>
          </w:tcPr>
          <w:p w14:paraId="380B330C" w14:textId="4DC46AE6" w:rsidR="00EA5495" w:rsidRPr="00411803" w:rsidRDefault="00F97F3F" w:rsidP="00945F67">
            <w:pPr>
              <w:cnfStyle w:val="000000010000" w:firstRow="0" w:lastRow="0" w:firstColumn="0" w:lastColumn="0" w:oddVBand="0" w:evenVBand="0" w:oddHBand="0" w:evenHBand="1" w:firstRowFirstColumn="0" w:firstRowLastColumn="0" w:lastRowFirstColumn="0" w:lastRowLastColumn="0"/>
            </w:pPr>
            <w:r w:rsidRPr="00411803">
              <w:t>Unclear</w:t>
            </w:r>
          </w:p>
        </w:tc>
        <w:tc>
          <w:tcPr>
            <w:tcW w:w="1919" w:type="dxa"/>
          </w:tcPr>
          <w:p w14:paraId="20B232D2" w14:textId="0345DB57" w:rsidR="00EA5495" w:rsidRPr="00411803" w:rsidRDefault="00F97F3F" w:rsidP="00945F67">
            <w:pPr>
              <w:cnfStyle w:val="000000010000" w:firstRow="0" w:lastRow="0" w:firstColumn="0" w:lastColumn="0" w:oddVBand="0" w:evenVBand="0" w:oddHBand="0" w:evenHBand="1" w:firstRowFirstColumn="0" w:firstRowLastColumn="0" w:lastRowFirstColumn="0" w:lastRowLastColumn="0"/>
            </w:pPr>
            <w:r w:rsidRPr="00411803">
              <w:t>Unclear</w:t>
            </w:r>
          </w:p>
        </w:tc>
        <w:tc>
          <w:tcPr>
            <w:tcW w:w="1990" w:type="dxa"/>
          </w:tcPr>
          <w:p w14:paraId="6F54657F" w14:textId="29FC4DA8" w:rsidR="00EA5495" w:rsidRPr="00411803" w:rsidRDefault="00F97F3F" w:rsidP="00945F67">
            <w:pPr>
              <w:cnfStyle w:val="000000010000" w:firstRow="0" w:lastRow="0" w:firstColumn="0" w:lastColumn="0" w:oddVBand="0" w:evenVBand="0" w:oddHBand="0" w:evenHBand="1" w:firstRowFirstColumn="0" w:firstRowLastColumn="0" w:lastRowFirstColumn="0" w:lastRowLastColumn="0"/>
            </w:pPr>
            <w:r w:rsidRPr="00411803">
              <w:t>Unclear</w:t>
            </w:r>
          </w:p>
        </w:tc>
      </w:tr>
      <w:tr w:rsidR="00945F67" w:rsidRPr="00655FDE" w14:paraId="68287D20" w14:textId="77777777" w:rsidTr="00653E4B">
        <w:trPr>
          <w:cnfStyle w:val="000000100000" w:firstRow="0" w:lastRow="0" w:firstColumn="0" w:lastColumn="0" w:oddVBand="0" w:evenVBand="0" w:oddHBand="1" w:evenHBand="0" w:firstRowFirstColumn="0" w:firstRowLastColumn="0" w:lastRowFirstColumn="0" w:lastRowLastColumn="0"/>
          <w:trHeight w:val="7540"/>
        </w:trPr>
        <w:tc>
          <w:tcPr>
            <w:cnfStyle w:val="001000000000" w:firstRow="0" w:lastRow="0" w:firstColumn="1" w:lastColumn="0" w:oddVBand="0" w:evenVBand="0" w:oddHBand="0" w:evenHBand="0" w:firstRowFirstColumn="0" w:firstRowLastColumn="0" w:lastRowFirstColumn="0" w:lastRowLastColumn="0"/>
            <w:tcW w:w="7280" w:type="dxa"/>
          </w:tcPr>
          <w:p w14:paraId="2E5EF8C7" w14:textId="16250925" w:rsidR="00726EC1" w:rsidRDefault="00945F67" w:rsidP="00EA5495">
            <w:pPr>
              <w:pStyle w:val="armleftmargin000"/>
              <w:rPr>
                <w:rFonts w:ascii="Helvetica" w:hAnsi="Helvetica" w:cs="Helvetica"/>
                <w:color w:val="000000"/>
                <w:lang w:val="en"/>
              </w:rPr>
            </w:pPr>
            <w:r w:rsidRPr="000417AF">
              <w:rPr>
                <w:rFonts w:asciiTheme="minorHAnsi" w:hAnsiTheme="minorHAnsi"/>
              </w:rPr>
              <w:lastRenderedPageBreak/>
              <w:t xml:space="preserve">GAAP:  </w:t>
            </w:r>
            <w:r w:rsidR="00EA5495">
              <w:rPr>
                <w:rFonts w:asciiTheme="minorHAnsi" w:hAnsiTheme="minorHAnsi"/>
                <w:b w:val="0"/>
              </w:rPr>
              <w:t xml:space="preserve">ASC </w:t>
            </w:r>
            <w:r w:rsidR="00726EC1">
              <w:rPr>
                <w:rFonts w:asciiTheme="minorHAnsi" w:hAnsiTheme="minorHAnsi"/>
                <w:b w:val="0"/>
              </w:rPr>
              <w:t>350-10</w:t>
            </w:r>
            <w:r w:rsidR="00EA5495">
              <w:rPr>
                <w:rFonts w:asciiTheme="minorHAnsi" w:hAnsiTheme="minorHAnsi"/>
                <w:b w:val="0"/>
              </w:rPr>
              <w:t xml:space="preserve"> </w:t>
            </w:r>
          </w:p>
          <w:p w14:paraId="2F3E25AC" w14:textId="133AAE84" w:rsidR="00726EC1" w:rsidRPr="00726EC1" w:rsidRDefault="00726EC1" w:rsidP="00726EC1">
            <w:pPr>
              <w:pStyle w:val="armleftmargin000"/>
              <w:rPr>
                <w:rFonts w:asciiTheme="minorHAnsi" w:hAnsiTheme="minorHAnsi" w:cs="Arial"/>
                <w:bCs w:val="0"/>
                <w:sz w:val="22"/>
                <w:szCs w:val="20"/>
              </w:rPr>
            </w:pPr>
            <w:r w:rsidRPr="00726EC1">
              <w:rPr>
                <w:rFonts w:asciiTheme="minorHAnsi" w:hAnsiTheme="minorHAnsi" w:cs="Arial"/>
                <w:sz w:val="22"/>
                <w:szCs w:val="20"/>
              </w:rPr>
              <w:t>Summary of Restricted and Designated Funds:</w:t>
            </w:r>
            <w:r w:rsidR="00EA5495" w:rsidRPr="00726EC1">
              <w:rPr>
                <w:rFonts w:asciiTheme="minorHAnsi" w:hAnsiTheme="minorHAnsi" w:cs="Arial"/>
                <w:sz w:val="22"/>
                <w:szCs w:val="20"/>
              </w:rPr>
              <w:t xml:space="preserve"> </w:t>
            </w:r>
          </w:p>
          <w:p w14:paraId="76B58A5D" w14:textId="1AF9DCCD" w:rsidR="00726EC1" w:rsidRPr="00726EC1" w:rsidRDefault="00726EC1" w:rsidP="00726EC1">
            <w:pPr>
              <w:pStyle w:val="armleftmargin000"/>
              <w:rPr>
                <w:rFonts w:asciiTheme="minorHAnsi" w:hAnsiTheme="minorHAnsi" w:cs="Arial"/>
                <w:b w:val="0"/>
                <w:sz w:val="22"/>
                <w:szCs w:val="20"/>
              </w:rPr>
            </w:pPr>
            <w:r>
              <w:t xml:space="preserve"> </w:t>
            </w:r>
            <w:r w:rsidRPr="00726EC1">
              <w:rPr>
                <w:rFonts w:asciiTheme="minorHAnsi" w:hAnsiTheme="minorHAnsi" w:cs="Arial"/>
                <w:b w:val="0"/>
                <w:sz w:val="22"/>
                <w:szCs w:val="20"/>
              </w:rPr>
              <w:t xml:space="preserve">Cash and cash equivalents disclosed on the balance sheet should agree to the amount disclosed in the statement of cash flows. Accordingly, when restricted cash is presented separately in the balance sheet, it should not be included in cash and cash equivalents in the statement of cash flows. </w:t>
            </w:r>
          </w:p>
          <w:p w14:paraId="2D8A0D6B" w14:textId="7B5FF9C9" w:rsidR="00726EC1" w:rsidRDefault="00726EC1" w:rsidP="00726EC1">
            <w:pPr>
              <w:pStyle w:val="armleftmargin000"/>
              <w:rPr>
                <w:rFonts w:asciiTheme="minorHAnsi" w:hAnsiTheme="minorHAnsi" w:cs="Arial"/>
                <w:b w:val="0"/>
                <w:sz w:val="22"/>
                <w:szCs w:val="20"/>
              </w:rPr>
            </w:pPr>
            <w:r w:rsidRPr="00726EC1">
              <w:rPr>
                <w:rFonts w:asciiTheme="minorHAnsi" w:hAnsiTheme="minorHAnsi" w:cs="Arial"/>
                <w:b w:val="0"/>
                <w:sz w:val="22"/>
                <w:szCs w:val="20"/>
              </w:rPr>
              <w:t xml:space="preserve">From time to time, an entity may designate or appropriate unrestricted funds for specified purposes, such as capital improvements or long-term investments. </w:t>
            </w:r>
            <w:r w:rsidRPr="00726EC1">
              <w:rPr>
                <w:rFonts w:asciiTheme="minorHAnsi" w:hAnsiTheme="minorHAnsi" w:cs="Arial"/>
                <w:b w:val="0"/>
                <w:sz w:val="22"/>
                <w:szCs w:val="20"/>
                <w:u w:val="single"/>
              </w:rPr>
              <w:t>Although segregation or disclosure of these designated funds is not required, such action is acceptable so long as the disclosure does not imply that the funds are legally restricted.</w:t>
            </w:r>
            <w:r w:rsidRPr="00726EC1">
              <w:rPr>
                <w:rFonts w:asciiTheme="minorHAnsi" w:hAnsiTheme="minorHAnsi" w:cs="Arial"/>
                <w:b w:val="0"/>
                <w:sz w:val="22"/>
                <w:szCs w:val="20"/>
              </w:rPr>
              <w:t xml:space="preserve"> If such funds are to be used to acquire </w:t>
            </w:r>
            <w:r w:rsidRPr="00726EC1">
              <w:rPr>
                <w:rFonts w:asciiTheme="minorHAnsi" w:hAnsiTheme="minorHAnsi" w:cs="Arial"/>
                <w:b w:val="0"/>
                <w:sz w:val="22"/>
                <w:szCs w:val="20"/>
                <w:u w:val="single"/>
              </w:rPr>
              <w:t>noncurrent assets,</w:t>
            </w:r>
            <w:r w:rsidRPr="00726EC1">
              <w:rPr>
                <w:rFonts w:asciiTheme="minorHAnsi" w:hAnsiTheme="minorHAnsi" w:cs="Arial"/>
                <w:b w:val="0"/>
                <w:sz w:val="22"/>
                <w:szCs w:val="20"/>
              </w:rPr>
              <w:t xml:space="preserve"> liquidate long-term debt, or purchase long-term investments, they should be classified as long term. </w:t>
            </w:r>
          </w:p>
          <w:p w14:paraId="773FDCC1" w14:textId="199F2B2E" w:rsidR="00726EC1" w:rsidRPr="00726EC1" w:rsidRDefault="00726EC1" w:rsidP="00726EC1">
            <w:pPr>
              <w:pStyle w:val="armleftmargin000"/>
              <w:rPr>
                <w:rFonts w:asciiTheme="minorHAnsi" w:hAnsiTheme="minorHAnsi" w:cs="Arial"/>
                <w:b w:val="0"/>
                <w:sz w:val="22"/>
                <w:szCs w:val="20"/>
              </w:rPr>
            </w:pPr>
            <w:r w:rsidRPr="00726EC1">
              <w:rPr>
                <w:rFonts w:asciiTheme="minorHAnsi" w:hAnsiTheme="minorHAnsi" w:cs="Arial"/>
                <w:b w:val="0"/>
                <w:sz w:val="22"/>
                <w:szCs w:val="20"/>
              </w:rPr>
              <w:t xml:space="preserve">Significant amounts of funds </w:t>
            </w:r>
            <w:r w:rsidRPr="00726EC1">
              <w:rPr>
                <w:rFonts w:asciiTheme="minorHAnsi" w:hAnsiTheme="minorHAnsi" w:cs="Arial"/>
                <w:b w:val="0"/>
                <w:sz w:val="22"/>
                <w:szCs w:val="20"/>
                <w:u w:val="single"/>
              </w:rPr>
              <w:t xml:space="preserve">that are legally restricted in other ways should also be segregated or disclosed </w:t>
            </w:r>
            <w:r w:rsidRPr="00726EC1">
              <w:rPr>
                <w:rFonts w:asciiTheme="minorHAnsi" w:hAnsiTheme="minorHAnsi" w:cs="Arial"/>
                <w:b w:val="0"/>
                <w:sz w:val="22"/>
                <w:szCs w:val="20"/>
              </w:rPr>
              <w:t>in a caption or note. Funds held in escrow, proceeds from loans restricted for specified purposes, and reserve funds required under bond indentures are examples of such funds. If such funds are to be used to acquire noncurrent assets or to liquidate long-term liabilities, they should be classified as long term in a classified balance sheet. However, if funds are restricted for the payment of interest, current maturities of debt, or other current liabilities, they sh</w:t>
            </w:r>
            <w:r>
              <w:rPr>
                <w:rFonts w:asciiTheme="minorHAnsi" w:hAnsiTheme="minorHAnsi" w:cs="Arial"/>
                <w:b w:val="0"/>
                <w:sz w:val="22"/>
                <w:szCs w:val="20"/>
              </w:rPr>
              <w:t xml:space="preserve">ould be classified as current. </w:t>
            </w:r>
          </w:p>
          <w:p w14:paraId="51315EAA" w14:textId="0A484A12" w:rsidR="00945F67" w:rsidRPr="00726EC1" w:rsidRDefault="00726EC1" w:rsidP="00726EC1">
            <w:pPr>
              <w:pStyle w:val="armleftmargin000"/>
              <w:rPr>
                <w:rFonts w:asciiTheme="minorHAnsi" w:hAnsiTheme="minorHAnsi" w:cs="Arial"/>
                <w:b w:val="0"/>
                <w:sz w:val="22"/>
                <w:szCs w:val="20"/>
              </w:rPr>
            </w:pPr>
            <w:r w:rsidRPr="00726EC1">
              <w:rPr>
                <w:rFonts w:asciiTheme="minorHAnsi" w:hAnsiTheme="minorHAnsi" w:cs="Arial"/>
                <w:b w:val="0"/>
                <w:sz w:val="22"/>
                <w:szCs w:val="20"/>
              </w:rPr>
              <w:t>In SEC filings, registrants are required to separately disclose on the face of the balance sheet any cash or cash items that are legally restricted as to usage or withdrawal, and the terms of the restrictions must be described in a note to the statement.</w:t>
            </w:r>
          </w:p>
        </w:tc>
        <w:tc>
          <w:tcPr>
            <w:tcW w:w="1800" w:type="dxa"/>
          </w:tcPr>
          <w:p w14:paraId="6E0974A6" w14:textId="6528B261" w:rsidR="00945F67" w:rsidRPr="000417AF" w:rsidRDefault="00F97F3F" w:rsidP="00F97F3F">
            <w:pPr>
              <w:cnfStyle w:val="000000100000" w:firstRow="0" w:lastRow="0" w:firstColumn="0" w:lastColumn="0" w:oddVBand="0" w:evenVBand="0" w:oddHBand="1" w:evenHBand="0" w:firstRowFirstColumn="0" w:firstRowLastColumn="0" w:lastRowFirstColumn="0" w:lastRowLastColumn="0"/>
            </w:pPr>
            <w:r>
              <w:t>Unclear</w:t>
            </w:r>
          </w:p>
        </w:tc>
        <w:tc>
          <w:tcPr>
            <w:tcW w:w="1800" w:type="dxa"/>
          </w:tcPr>
          <w:p w14:paraId="7BCCFCC9" w14:textId="38AD8607" w:rsidR="00945F67"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c>
          <w:tcPr>
            <w:tcW w:w="1919" w:type="dxa"/>
          </w:tcPr>
          <w:p w14:paraId="020AAE39" w14:textId="4DB97EAD" w:rsidR="00945F67"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c>
          <w:tcPr>
            <w:tcW w:w="1990" w:type="dxa"/>
          </w:tcPr>
          <w:p w14:paraId="6ECA7647" w14:textId="12CD5F89" w:rsidR="00945F67"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r>
      <w:tr w:rsidR="00945F67" w:rsidRPr="00655FDE" w14:paraId="5B604B60" w14:textId="77777777" w:rsidTr="00F97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745524CA" w14:textId="77777777" w:rsidR="00945F67" w:rsidRPr="000417AF" w:rsidRDefault="00945F67" w:rsidP="00945F67">
            <w:pPr>
              <w:autoSpaceDE w:val="0"/>
              <w:autoSpaceDN w:val="0"/>
              <w:adjustRightInd w:val="0"/>
              <w:rPr>
                <w:rFonts w:asciiTheme="minorHAnsi" w:hAnsiTheme="minorHAnsi"/>
                <w:szCs w:val="24"/>
              </w:rPr>
            </w:pPr>
            <w:r w:rsidRPr="000417AF">
              <w:rPr>
                <w:rFonts w:asciiTheme="minorHAnsi" w:hAnsiTheme="minorHAnsi"/>
                <w:szCs w:val="24"/>
              </w:rPr>
              <w:t xml:space="preserve">FASAB Handbook version 12: </w:t>
            </w:r>
            <w:r w:rsidRPr="000417AF">
              <w:rPr>
                <w:rFonts w:asciiTheme="minorHAnsi" w:hAnsiTheme="minorHAnsi" w:cs="Times New Roman"/>
                <w:szCs w:val="24"/>
              </w:rPr>
              <w:t xml:space="preserve"> </w:t>
            </w:r>
            <w:r w:rsidRPr="000417AF">
              <w:rPr>
                <w:rFonts w:asciiTheme="minorHAnsi" w:hAnsiTheme="minorHAnsi" w:cs="Times New Roman"/>
                <w:b w:val="0"/>
                <w:szCs w:val="24"/>
              </w:rPr>
              <w:t>Silent on treatment</w:t>
            </w:r>
          </w:p>
        </w:tc>
        <w:tc>
          <w:tcPr>
            <w:tcW w:w="1800" w:type="dxa"/>
          </w:tcPr>
          <w:p w14:paraId="0171565E" w14:textId="77777777" w:rsidR="00945F67" w:rsidRPr="000417AF" w:rsidRDefault="00945F67" w:rsidP="00945F67">
            <w:pPr>
              <w:cnfStyle w:val="000000010000" w:firstRow="0" w:lastRow="0" w:firstColumn="0" w:lastColumn="0" w:oddVBand="0" w:evenVBand="0" w:oddHBand="0" w:evenHBand="1" w:firstRowFirstColumn="0" w:firstRowLastColumn="0" w:lastRowFirstColumn="0" w:lastRowLastColumn="0"/>
            </w:pPr>
            <w:r w:rsidRPr="000417AF">
              <w:t>N/A</w:t>
            </w:r>
          </w:p>
        </w:tc>
        <w:tc>
          <w:tcPr>
            <w:tcW w:w="1800" w:type="dxa"/>
          </w:tcPr>
          <w:p w14:paraId="740B06B9" w14:textId="77777777" w:rsidR="00945F67" w:rsidRPr="000417AF" w:rsidRDefault="00945F67" w:rsidP="00945F67">
            <w:pPr>
              <w:cnfStyle w:val="000000010000" w:firstRow="0" w:lastRow="0" w:firstColumn="0" w:lastColumn="0" w:oddVBand="0" w:evenVBand="0" w:oddHBand="0" w:evenHBand="1" w:firstRowFirstColumn="0" w:firstRowLastColumn="0" w:lastRowFirstColumn="0" w:lastRowLastColumn="0"/>
            </w:pPr>
            <w:r w:rsidRPr="000417AF">
              <w:t>N/A</w:t>
            </w:r>
          </w:p>
        </w:tc>
        <w:tc>
          <w:tcPr>
            <w:tcW w:w="1919" w:type="dxa"/>
          </w:tcPr>
          <w:p w14:paraId="660DD859" w14:textId="77777777" w:rsidR="00945F67" w:rsidRPr="000417AF" w:rsidRDefault="00945F67" w:rsidP="00945F67">
            <w:pPr>
              <w:cnfStyle w:val="000000010000" w:firstRow="0" w:lastRow="0" w:firstColumn="0" w:lastColumn="0" w:oddVBand="0" w:evenVBand="0" w:oddHBand="0" w:evenHBand="1" w:firstRowFirstColumn="0" w:firstRowLastColumn="0" w:lastRowFirstColumn="0" w:lastRowLastColumn="0"/>
            </w:pPr>
            <w:r w:rsidRPr="000417AF">
              <w:t>N/A</w:t>
            </w:r>
          </w:p>
        </w:tc>
        <w:tc>
          <w:tcPr>
            <w:tcW w:w="1990" w:type="dxa"/>
          </w:tcPr>
          <w:p w14:paraId="3C31BE5A" w14:textId="77777777" w:rsidR="00945F67" w:rsidRPr="000417AF" w:rsidRDefault="00945F67" w:rsidP="00945F67">
            <w:pPr>
              <w:cnfStyle w:val="000000010000" w:firstRow="0" w:lastRow="0" w:firstColumn="0" w:lastColumn="0" w:oddVBand="0" w:evenVBand="0" w:oddHBand="0" w:evenHBand="1" w:firstRowFirstColumn="0" w:firstRowLastColumn="0" w:lastRowFirstColumn="0" w:lastRowLastColumn="0"/>
            </w:pPr>
            <w:r w:rsidRPr="000417AF">
              <w:t>N/A</w:t>
            </w:r>
          </w:p>
        </w:tc>
      </w:tr>
      <w:tr w:rsidR="00F97F3F" w:rsidRPr="00655FDE" w14:paraId="09087E42" w14:textId="77777777" w:rsidTr="00F97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1838830F" w14:textId="5451D57F" w:rsidR="00F97F3F" w:rsidRPr="000417AF" w:rsidRDefault="00F97F3F" w:rsidP="00FB5AEE">
            <w:pPr>
              <w:autoSpaceDE w:val="0"/>
              <w:autoSpaceDN w:val="0"/>
              <w:adjustRightInd w:val="0"/>
              <w:rPr>
                <w:rFonts w:asciiTheme="minorHAnsi" w:hAnsiTheme="minorHAnsi"/>
                <w:szCs w:val="24"/>
              </w:rPr>
            </w:pPr>
            <w:r w:rsidRPr="000417AF">
              <w:rPr>
                <w:rFonts w:asciiTheme="minorHAnsi" w:hAnsiTheme="minorHAnsi"/>
                <w:szCs w:val="24"/>
              </w:rPr>
              <w:t xml:space="preserve">Industry Practice: </w:t>
            </w:r>
            <w:r w:rsidRPr="000417AF">
              <w:rPr>
                <w:rFonts w:asciiTheme="minorHAnsi" w:hAnsiTheme="minorHAnsi"/>
                <w:b w:val="0"/>
              </w:rPr>
              <w:t xml:space="preserve"> </w:t>
            </w:r>
            <w:r w:rsidR="00FB5AEE">
              <w:rPr>
                <w:rFonts w:asciiTheme="minorHAnsi" w:hAnsiTheme="minorHAnsi"/>
                <w:b w:val="0"/>
              </w:rPr>
              <w:t>If funds are legally restricted towards a use, then companies use restricted fund accounts. However, if there is no legal restriction, insufficient cash on hand but sufficient income,   or a desire to not reduce the cash balance, companies may place the reserve in</w:t>
            </w:r>
            <w:r>
              <w:rPr>
                <w:rFonts w:asciiTheme="minorHAnsi" w:hAnsiTheme="minorHAnsi"/>
                <w:b w:val="0"/>
              </w:rPr>
              <w:t xml:space="preserve"> </w:t>
            </w:r>
            <w:r w:rsidR="00FB5AEE">
              <w:rPr>
                <w:rFonts w:asciiTheme="minorHAnsi" w:hAnsiTheme="minorHAnsi"/>
                <w:b w:val="0"/>
              </w:rPr>
              <w:t xml:space="preserve">the equity section of the financial statements. </w:t>
            </w:r>
          </w:p>
        </w:tc>
        <w:tc>
          <w:tcPr>
            <w:tcW w:w="1800" w:type="dxa"/>
          </w:tcPr>
          <w:p w14:paraId="4B08A07A" w14:textId="5AE6FF35" w:rsidR="00F97F3F" w:rsidRPr="000417AF" w:rsidRDefault="00F97F3F" w:rsidP="00F97F3F">
            <w:pPr>
              <w:cnfStyle w:val="000000100000" w:firstRow="0" w:lastRow="0" w:firstColumn="0" w:lastColumn="0" w:oddVBand="0" w:evenVBand="0" w:oddHBand="1" w:evenHBand="0" w:firstRowFirstColumn="0" w:firstRowLastColumn="0" w:lastRowFirstColumn="0" w:lastRowLastColumn="0"/>
            </w:pPr>
            <w:r w:rsidRPr="000417AF">
              <w:t>N/A</w:t>
            </w:r>
          </w:p>
        </w:tc>
        <w:tc>
          <w:tcPr>
            <w:tcW w:w="1800" w:type="dxa"/>
          </w:tcPr>
          <w:p w14:paraId="250153D8" w14:textId="33305715" w:rsidR="00F97F3F" w:rsidRPr="000417AF" w:rsidRDefault="00F97F3F" w:rsidP="00F97F3F">
            <w:pPr>
              <w:cnfStyle w:val="000000100000" w:firstRow="0" w:lastRow="0" w:firstColumn="0" w:lastColumn="0" w:oddVBand="0" w:evenVBand="0" w:oddHBand="1" w:evenHBand="0" w:firstRowFirstColumn="0" w:firstRowLastColumn="0" w:lastRowFirstColumn="0" w:lastRowLastColumn="0"/>
            </w:pPr>
            <w:r w:rsidRPr="000417AF">
              <w:t>N/A</w:t>
            </w:r>
          </w:p>
        </w:tc>
        <w:tc>
          <w:tcPr>
            <w:tcW w:w="1919" w:type="dxa"/>
          </w:tcPr>
          <w:p w14:paraId="3EFA520C" w14:textId="15B3706A" w:rsidR="00F97F3F" w:rsidRPr="000417AF" w:rsidRDefault="00F97F3F" w:rsidP="00F97F3F">
            <w:pPr>
              <w:cnfStyle w:val="000000100000" w:firstRow="0" w:lastRow="0" w:firstColumn="0" w:lastColumn="0" w:oddVBand="0" w:evenVBand="0" w:oddHBand="1" w:evenHBand="0" w:firstRowFirstColumn="0" w:firstRowLastColumn="0" w:lastRowFirstColumn="0" w:lastRowLastColumn="0"/>
            </w:pPr>
            <w:r w:rsidRPr="000417AF">
              <w:t>N/A</w:t>
            </w:r>
          </w:p>
        </w:tc>
        <w:tc>
          <w:tcPr>
            <w:tcW w:w="1990" w:type="dxa"/>
          </w:tcPr>
          <w:p w14:paraId="242A6244" w14:textId="452BF2E5" w:rsidR="00F97F3F" w:rsidRPr="000417AF" w:rsidRDefault="00F97F3F" w:rsidP="00F97F3F">
            <w:pPr>
              <w:cnfStyle w:val="000000100000" w:firstRow="0" w:lastRow="0" w:firstColumn="0" w:lastColumn="0" w:oddVBand="0" w:evenVBand="0" w:oddHBand="1" w:evenHBand="0" w:firstRowFirstColumn="0" w:firstRowLastColumn="0" w:lastRowFirstColumn="0" w:lastRowLastColumn="0"/>
            </w:pPr>
            <w:r w:rsidRPr="000417AF">
              <w:t>N/A</w:t>
            </w:r>
          </w:p>
        </w:tc>
      </w:tr>
    </w:tbl>
    <w:p w14:paraId="719DC6B5" w14:textId="16079823"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lastRenderedPageBreak/>
        <w:t>Discussion</w:t>
      </w:r>
      <w:r w:rsidR="00FE3532" w:rsidRPr="007B3038">
        <w:rPr>
          <w:rFonts w:ascii="Garamond" w:hAnsi="Garamond"/>
          <w:bCs w:val="0"/>
          <w:color w:val="auto"/>
          <w:kern w:val="0"/>
          <w:sz w:val="24"/>
          <w:szCs w:val="20"/>
        </w:rPr>
        <w:t xml:space="preserve"> </w:t>
      </w:r>
    </w:p>
    <w:p w14:paraId="63F31EEF" w14:textId="636B9A5A" w:rsidR="007B1330" w:rsidRDefault="00FB5AEE" w:rsidP="003A7177">
      <w:pPr>
        <w:ind w:left="-810"/>
        <w:rPr>
          <w:sz w:val="24"/>
          <w:szCs w:val="24"/>
        </w:rPr>
      </w:pPr>
      <w:r w:rsidRPr="00411803">
        <w:rPr>
          <w:sz w:val="24"/>
          <w:szCs w:val="24"/>
        </w:rPr>
        <w:t xml:space="preserve">Since the reserve in question is for the acquisition of an asset rather than as an accrual for a future liability (which must go into the equity section), there is a degree of flexibility for Services setting aside funds for future acquisitions. </w:t>
      </w:r>
      <w:r w:rsidR="003E3CA8" w:rsidRPr="00411803">
        <w:rPr>
          <w:sz w:val="24"/>
          <w:szCs w:val="24"/>
        </w:rPr>
        <w:t xml:space="preserve">Legally restricted funds should always be in the restricted cash section, per the FMR and GAAP guidance. Funds that are not legally restricted may be either </w:t>
      </w:r>
      <w:r w:rsidR="007B1330">
        <w:rPr>
          <w:sz w:val="24"/>
          <w:szCs w:val="24"/>
        </w:rPr>
        <w:t>1) recorded as unrestricted reserved for assets intended to be purchased in over a year</w:t>
      </w:r>
      <w:r w:rsidR="003E3CA8" w:rsidRPr="00411803">
        <w:rPr>
          <w:sz w:val="24"/>
          <w:szCs w:val="24"/>
        </w:rPr>
        <w:t xml:space="preserve"> (noncurrent to match the asset </w:t>
      </w:r>
      <w:r w:rsidR="007B1330">
        <w:rPr>
          <w:sz w:val="24"/>
          <w:szCs w:val="24"/>
        </w:rPr>
        <w:t>intended to be</w:t>
      </w:r>
      <w:r w:rsidR="003E3CA8" w:rsidRPr="00411803">
        <w:rPr>
          <w:sz w:val="24"/>
          <w:szCs w:val="24"/>
        </w:rPr>
        <w:t xml:space="preserve"> acquired</w:t>
      </w:r>
      <w:r w:rsidR="007B1330">
        <w:rPr>
          <w:sz w:val="24"/>
          <w:szCs w:val="24"/>
        </w:rPr>
        <w:t xml:space="preserve"> with clarification that the funds are not legally restricted</w:t>
      </w:r>
      <w:r w:rsidR="003E3CA8" w:rsidRPr="00411803">
        <w:rPr>
          <w:sz w:val="24"/>
          <w:szCs w:val="24"/>
        </w:rPr>
        <w:t xml:space="preserve">) </w:t>
      </w:r>
      <w:r w:rsidR="007B1330">
        <w:rPr>
          <w:sz w:val="24"/>
          <w:szCs w:val="24"/>
        </w:rPr>
        <w:t xml:space="preserve">and as a subaccount of cash for assets to be purchased within the year, 2) in the cash account, </w:t>
      </w:r>
      <w:r w:rsidR="003E3CA8" w:rsidRPr="00411803">
        <w:rPr>
          <w:sz w:val="24"/>
          <w:szCs w:val="24"/>
        </w:rPr>
        <w:t xml:space="preserve">or </w:t>
      </w:r>
      <w:r w:rsidR="007B1330">
        <w:rPr>
          <w:sz w:val="24"/>
          <w:szCs w:val="24"/>
        </w:rPr>
        <w:t xml:space="preserve">3) </w:t>
      </w:r>
      <w:r w:rsidR="003E3CA8" w:rsidRPr="00411803">
        <w:rPr>
          <w:sz w:val="24"/>
          <w:szCs w:val="24"/>
        </w:rPr>
        <w:t xml:space="preserve">as an equity account via storage as </w:t>
      </w:r>
      <w:r w:rsidR="003A07EA" w:rsidRPr="00411803">
        <w:rPr>
          <w:sz w:val="24"/>
          <w:szCs w:val="24"/>
        </w:rPr>
        <w:t>an</w:t>
      </w:r>
      <w:r w:rsidR="003E3CA8" w:rsidRPr="00411803">
        <w:rPr>
          <w:sz w:val="24"/>
          <w:szCs w:val="24"/>
        </w:rPr>
        <w:t xml:space="preserve"> equity account with a corresponding reduction in Retained earnings.  </w:t>
      </w:r>
      <w:r w:rsidR="007B1330">
        <w:rPr>
          <w:sz w:val="24"/>
          <w:szCs w:val="24"/>
        </w:rPr>
        <w:t>Option 1 will negatively impact the liquidity metrics of the reporting entity, as current assets, specifically cash, will decrease and noncurrent assets will increase with these discretionary reservations.</w:t>
      </w:r>
    </w:p>
    <w:p w14:paraId="34031FFD" w14:textId="77777777" w:rsidR="007B1330" w:rsidRDefault="007B1330" w:rsidP="003A7177">
      <w:pPr>
        <w:ind w:left="-810"/>
        <w:rPr>
          <w:sz w:val="24"/>
          <w:szCs w:val="24"/>
        </w:rPr>
      </w:pPr>
    </w:p>
    <w:p w14:paraId="6EC3A499" w14:textId="77777777" w:rsidR="007B1330" w:rsidRDefault="007B1330" w:rsidP="003A7177">
      <w:pPr>
        <w:ind w:left="-810"/>
        <w:rPr>
          <w:sz w:val="24"/>
          <w:szCs w:val="24"/>
        </w:rPr>
      </w:pPr>
      <w:r>
        <w:rPr>
          <w:sz w:val="24"/>
          <w:szCs w:val="24"/>
        </w:rPr>
        <w:t>Option 2 maintains the same liquidity metrics. The reporting entity could keep the funds reserved for a future project (reserved by discretion, not reserved legally) within the cash account.</w:t>
      </w:r>
    </w:p>
    <w:p w14:paraId="60C013C6" w14:textId="77777777" w:rsidR="007B1330" w:rsidRDefault="007B1330" w:rsidP="003A7177">
      <w:pPr>
        <w:ind w:left="-810"/>
        <w:rPr>
          <w:sz w:val="24"/>
          <w:szCs w:val="24"/>
        </w:rPr>
      </w:pPr>
    </w:p>
    <w:p w14:paraId="56DA9271" w14:textId="77777777" w:rsidR="007B1330" w:rsidRDefault="007B1330" w:rsidP="003A7177">
      <w:pPr>
        <w:ind w:left="-810"/>
        <w:rPr>
          <w:sz w:val="24"/>
          <w:szCs w:val="24"/>
        </w:rPr>
      </w:pPr>
      <w:r>
        <w:rPr>
          <w:sz w:val="24"/>
          <w:szCs w:val="24"/>
        </w:rPr>
        <w:t>The third option reduces Retained Earnings by the reserve account, but maintains the cash balance and liquidity measures.</w:t>
      </w:r>
    </w:p>
    <w:p w14:paraId="096AE2AC" w14:textId="77777777" w:rsidR="007B1330" w:rsidRDefault="007B1330" w:rsidP="003A7177">
      <w:pPr>
        <w:ind w:left="-810"/>
        <w:rPr>
          <w:sz w:val="24"/>
          <w:szCs w:val="24"/>
        </w:rPr>
      </w:pPr>
    </w:p>
    <w:p w14:paraId="73E71463" w14:textId="151FC9DE" w:rsidR="003A7177" w:rsidRPr="00411803" w:rsidRDefault="007B1330" w:rsidP="003A7177">
      <w:pPr>
        <w:ind w:left="-810"/>
        <w:rPr>
          <w:sz w:val="24"/>
          <w:szCs w:val="24"/>
        </w:rPr>
      </w:pPr>
      <w:r>
        <w:rPr>
          <w:sz w:val="24"/>
          <w:szCs w:val="24"/>
        </w:rPr>
        <w:t>Provided the funds are not legally restricted, t</w:t>
      </w:r>
      <w:r w:rsidR="003E3CA8" w:rsidRPr="00411803">
        <w:rPr>
          <w:sz w:val="24"/>
          <w:szCs w:val="24"/>
        </w:rPr>
        <w:t>he choice be</w:t>
      </w:r>
      <w:r w:rsidR="00C2510F" w:rsidRPr="00411803">
        <w:rPr>
          <w:sz w:val="24"/>
          <w:szCs w:val="24"/>
        </w:rPr>
        <w:t xml:space="preserve">tween the </w:t>
      </w:r>
      <w:r>
        <w:rPr>
          <w:sz w:val="24"/>
          <w:szCs w:val="24"/>
        </w:rPr>
        <w:t>three</w:t>
      </w:r>
      <w:r w:rsidR="00C2510F" w:rsidRPr="00411803">
        <w:rPr>
          <w:sz w:val="24"/>
          <w:szCs w:val="24"/>
        </w:rPr>
        <w:t xml:space="preserve"> methods is one of preference</w:t>
      </w:r>
      <w:r>
        <w:rPr>
          <w:sz w:val="24"/>
          <w:szCs w:val="24"/>
        </w:rPr>
        <w:t>.</w:t>
      </w:r>
      <w:r w:rsidR="00C2510F" w:rsidRPr="00411803">
        <w:rPr>
          <w:sz w:val="24"/>
          <w:szCs w:val="24"/>
        </w:rPr>
        <w:t xml:space="preserve"> </w:t>
      </w:r>
    </w:p>
    <w:p w14:paraId="612D0015" w14:textId="77777777" w:rsidR="004A5CEB" w:rsidRPr="00411803" w:rsidRDefault="004A5CEB" w:rsidP="000417AF">
      <w:pPr>
        <w:pStyle w:val="BodyText"/>
        <w:spacing w:after="0" w:line="240" w:lineRule="auto"/>
        <w:rPr>
          <w:sz w:val="24"/>
          <w:szCs w:val="24"/>
        </w:rPr>
      </w:pPr>
    </w:p>
    <w:p w14:paraId="71DE2A42" w14:textId="4400D823" w:rsidR="004B1481" w:rsidRPr="00411803" w:rsidRDefault="006A5955" w:rsidP="000417AF">
      <w:pPr>
        <w:pStyle w:val="Heading1"/>
        <w:tabs>
          <w:tab w:val="left" w:pos="6675"/>
        </w:tabs>
        <w:ind w:left="-2160" w:firstLine="180"/>
        <w:rPr>
          <w:sz w:val="24"/>
          <w:szCs w:val="24"/>
        </w:rPr>
      </w:pPr>
      <w:r w:rsidRPr="00411803">
        <w:rPr>
          <w:sz w:val="24"/>
          <w:szCs w:val="24"/>
        </w:rPr>
        <w:t>Recommendation</w:t>
      </w:r>
    </w:p>
    <w:p w14:paraId="316E30B2" w14:textId="452958E1" w:rsidR="006B4F20" w:rsidRPr="00756B9C" w:rsidRDefault="00C2510F" w:rsidP="00C2510F">
      <w:pPr>
        <w:ind w:left="-810"/>
        <w:rPr>
          <w:sz w:val="24"/>
          <w:szCs w:val="24"/>
        </w:rPr>
      </w:pPr>
      <w:r w:rsidRPr="00411803">
        <w:rPr>
          <w:sz w:val="24"/>
          <w:szCs w:val="24"/>
        </w:rPr>
        <w:t xml:space="preserve">We recommend that the Services </w:t>
      </w:r>
      <w:r w:rsidRPr="000070EE">
        <w:rPr>
          <w:sz w:val="24"/>
          <w:szCs w:val="24"/>
        </w:rPr>
        <w:t xml:space="preserve">use the restricted cash </w:t>
      </w:r>
      <w:r w:rsidRPr="00756B9C">
        <w:rPr>
          <w:sz w:val="24"/>
          <w:szCs w:val="24"/>
        </w:rPr>
        <w:t>account</w:t>
      </w:r>
      <w:r w:rsidR="004072F5" w:rsidRPr="00756B9C">
        <w:rPr>
          <w:sz w:val="24"/>
          <w:szCs w:val="24"/>
        </w:rPr>
        <w:t xml:space="preserve"> (</w:t>
      </w:r>
      <w:r w:rsidR="00694C89" w:rsidRPr="00756B9C">
        <w:rPr>
          <w:sz w:val="24"/>
          <w:szCs w:val="24"/>
        </w:rPr>
        <w:t xml:space="preserve">GLAC </w:t>
      </w:r>
      <w:r w:rsidR="004072F5" w:rsidRPr="00756B9C">
        <w:rPr>
          <w:sz w:val="24"/>
          <w:szCs w:val="24"/>
        </w:rPr>
        <w:t>107 Restricted Cash)</w:t>
      </w:r>
      <w:r w:rsidRPr="00756B9C">
        <w:rPr>
          <w:sz w:val="24"/>
          <w:szCs w:val="24"/>
        </w:rPr>
        <w:t xml:space="preserve"> for legally restricted funds only</w:t>
      </w:r>
      <w:r w:rsidR="007B1330" w:rsidRPr="00756B9C">
        <w:rPr>
          <w:sz w:val="24"/>
          <w:szCs w:val="24"/>
        </w:rPr>
        <w:t>. Legally restricted cash must be disclosed as such. Additionally, the Services should place</w:t>
      </w:r>
      <w:r w:rsidRPr="00756B9C">
        <w:rPr>
          <w:sz w:val="24"/>
          <w:szCs w:val="24"/>
        </w:rPr>
        <w:t xml:space="preserve"> funds that are set aside for future capital purchases or projects but are not legally required to be spent </w:t>
      </w:r>
      <w:r w:rsidR="004072F5" w:rsidRPr="00756B9C">
        <w:rPr>
          <w:sz w:val="24"/>
          <w:szCs w:val="24"/>
        </w:rPr>
        <w:t xml:space="preserve">in a separate account. We recommend the addition of </w:t>
      </w:r>
      <w:r w:rsidR="00694C89" w:rsidRPr="00756B9C">
        <w:rPr>
          <w:sz w:val="24"/>
          <w:szCs w:val="24"/>
        </w:rPr>
        <w:t xml:space="preserve">GLAC </w:t>
      </w:r>
      <w:r w:rsidR="004072F5" w:rsidRPr="00756B9C">
        <w:rPr>
          <w:sz w:val="24"/>
          <w:szCs w:val="24"/>
        </w:rPr>
        <w:t xml:space="preserve">108 </w:t>
      </w:r>
      <w:r w:rsidR="00694C89" w:rsidRPr="00756B9C">
        <w:rPr>
          <w:sz w:val="24"/>
          <w:szCs w:val="24"/>
        </w:rPr>
        <w:t>“</w:t>
      </w:r>
      <w:r w:rsidR="004072F5" w:rsidRPr="00756B9C">
        <w:rPr>
          <w:sz w:val="24"/>
          <w:szCs w:val="24"/>
        </w:rPr>
        <w:t>Capital Projects Reserve</w:t>
      </w:r>
      <w:r w:rsidR="00694C89" w:rsidRPr="00756B9C">
        <w:rPr>
          <w:sz w:val="24"/>
          <w:szCs w:val="24"/>
        </w:rPr>
        <w:t>”</w:t>
      </w:r>
      <w:r w:rsidR="0028510B" w:rsidRPr="00756B9C">
        <w:rPr>
          <w:sz w:val="24"/>
          <w:szCs w:val="24"/>
        </w:rPr>
        <w:t xml:space="preserve"> </w:t>
      </w:r>
      <w:r w:rsidR="00751242" w:rsidRPr="00756B9C">
        <w:rPr>
          <w:sz w:val="24"/>
          <w:szCs w:val="24"/>
        </w:rPr>
        <w:t>for this purpose;</w:t>
      </w:r>
      <w:r w:rsidRPr="00756B9C">
        <w:rPr>
          <w:sz w:val="24"/>
          <w:szCs w:val="24"/>
        </w:rPr>
        <w:t xml:space="preserve"> </w:t>
      </w:r>
      <w:r w:rsidR="00751242" w:rsidRPr="00756B9C">
        <w:rPr>
          <w:sz w:val="24"/>
          <w:szCs w:val="24"/>
        </w:rPr>
        <w:t>h</w:t>
      </w:r>
      <w:r w:rsidR="0067006E" w:rsidRPr="00756B9C">
        <w:rPr>
          <w:sz w:val="24"/>
          <w:szCs w:val="24"/>
        </w:rPr>
        <w:t xml:space="preserve">owever, the Services are not required to separate and disclose funds held for capital projects that are not legally restricted. </w:t>
      </w:r>
      <w:r w:rsidRPr="00756B9C">
        <w:rPr>
          <w:sz w:val="24"/>
          <w:szCs w:val="24"/>
        </w:rPr>
        <w:t xml:space="preserve">We recognize that GAAP and the FMR do not prescribe this distinction; however, with the expectation that NAFIs by their nature will have numerous capital projects and many projects with legally restricted cash, we believe this to be the best method to ensure comparability between the Services. Without a standard approach, meaningful comparisons between the Services’ cash balances, financial ratios, and retained earnings will be difficult to achieve, particularly in times with numerous capital projects. </w:t>
      </w:r>
    </w:p>
    <w:p w14:paraId="0A34715F" w14:textId="77777777" w:rsidR="00C2510F" w:rsidRPr="00756B9C" w:rsidRDefault="00C2510F" w:rsidP="00C2510F">
      <w:pPr>
        <w:ind w:left="-810"/>
        <w:rPr>
          <w:sz w:val="24"/>
          <w:szCs w:val="24"/>
        </w:rPr>
      </w:pPr>
    </w:p>
    <w:p w14:paraId="3E98CF38" w14:textId="1ED4F553" w:rsidR="00411803" w:rsidRPr="00756B9C" w:rsidRDefault="00C2510F" w:rsidP="006B4F20">
      <w:pPr>
        <w:ind w:left="-810"/>
        <w:rPr>
          <w:sz w:val="24"/>
          <w:szCs w:val="24"/>
        </w:rPr>
      </w:pPr>
      <w:r w:rsidRPr="00756B9C">
        <w:rPr>
          <w:sz w:val="24"/>
          <w:szCs w:val="24"/>
        </w:rPr>
        <w:t xml:space="preserve">We recommend the FMR Volume </w:t>
      </w:r>
      <w:r w:rsidR="004D4D7E">
        <w:rPr>
          <w:sz w:val="24"/>
          <w:szCs w:val="24"/>
        </w:rPr>
        <w:t>4</w:t>
      </w:r>
      <w:r w:rsidR="00411803" w:rsidRPr="00756B9C">
        <w:rPr>
          <w:sz w:val="24"/>
          <w:szCs w:val="24"/>
        </w:rPr>
        <w:t xml:space="preserve">, Chapter </w:t>
      </w:r>
      <w:r w:rsidR="004D4D7E">
        <w:rPr>
          <w:sz w:val="24"/>
          <w:szCs w:val="24"/>
        </w:rPr>
        <w:t>1</w:t>
      </w:r>
      <w:r w:rsidRPr="00756B9C">
        <w:rPr>
          <w:sz w:val="24"/>
          <w:szCs w:val="24"/>
        </w:rPr>
        <w:t xml:space="preserve"> be changed to include this distinction in accounting treatment between legally-restricted cash </w:t>
      </w:r>
      <w:r w:rsidR="003A07EA" w:rsidRPr="00756B9C">
        <w:rPr>
          <w:sz w:val="24"/>
          <w:szCs w:val="24"/>
        </w:rPr>
        <w:t>reserves</w:t>
      </w:r>
      <w:r w:rsidRPr="00756B9C">
        <w:rPr>
          <w:sz w:val="24"/>
          <w:szCs w:val="24"/>
        </w:rPr>
        <w:t xml:space="preserve"> and voluntary reserves</w:t>
      </w:r>
      <w:r w:rsidR="006B4F20" w:rsidRPr="00756B9C">
        <w:rPr>
          <w:sz w:val="24"/>
          <w:szCs w:val="24"/>
        </w:rPr>
        <w:t xml:space="preserve">. </w:t>
      </w:r>
      <w:r w:rsidR="00EE2A66" w:rsidRPr="00756B9C">
        <w:rPr>
          <w:sz w:val="24"/>
          <w:szCs w:val="24"/>
        </w:rPr>
        <w:t xml:space="preserve">Recommend including the following </w:t>
      </w:r>
      <w:r w:rsidR="00751242" w:rsidRPr="00756B9C">
        <w:rPr>
          <w:sz w:val="24"/>
          <w:szCs w:val="24"/>
        </w:rPr>
        <w:t>statements within the FMR</w:t>
      </w:r>
      <w:r w:rsidR="00EE2A66" w:rsidRPr="00756B9C">
        <w:rPr>
          <w:sz w:val="24"/>
          <w:szCs w:val="24"/>
        </w:rPr>
        <w:t>: “</w:t>
      </w:r>
      <w:r w:rsidR="0028510B" w:rsidRPr="00756B9C">
        <w:rPr>
          <w:sz w:val="24"/>
          <w:szCs w:val="24"/>
        </w:rPr>
        <w:t xml:space="preserve">Legally-restricted cash should be held separately from non-legally restricted cash and disclosed as such within the financials. Although cash set aside as a reserve for non-legally restricted purposes such as </w:t>
      </w:r>
      <w:r w:rsidR="00694C89" w:rsidRPr="00756B9C">
        <w:rPr>
          <w:sz w:val="24"/>
          <w:szCs w:val="24"/>
        </w:rPr>
        <w:t>projects</w:t>
      </w:r>
      <w:r w:rsidR="0028510B" w:rsidRPr="00756B9C">
        <w:rPr>
          <w:sz w:val="24"/>
          <w:szCs w:val="24"/>
        </w:rPr>
        <w:t xml:space="preserve"> may be segregated from Cash, it is not required to be segregated. Additionally, any disclosures related to reserves should not imply that the funds are legally-restricted.”</w:t>
      </w:r>
    </w:p>
    <w:p w14:paraId="026AD721" w14:textId="77777777" w:rsidR="00411803" w:rsidRPr="00411803" w:rsidRDefault="00411803" w:rsidP="006B4F20">
      <w:pPr>
        <w:ind w:left="-810"/>
        <w:rPr>
          <w:sz w:val="24"/>
          <w:szCs w:val="24"/>
        </w:rPr>
      </w:pPr>
    </w:p>
    <w:p w14:paraId="0503D795" w14:textId="470225B3" w:rsidR="006B4F20" w:rsidRPr="00756B9C" w:rsidRDefault="00411803" w:rsidP="006B4F20">
      <w:pPr>
        <w:ind w:left="-810"/>
        <w:rPr>
          <w:sz w:val="24"/>
          <w:szCs w:val="24"/>
        </w:rPr>
      </w:pPr>
      <w:r w:rsidRPr="00411803">
        <w:rPr>
          <w:sz w:val="24"/>
          <w:szCs w:val="24"/>
        </w:rPr>
        <w:lastRenderedPageBreak/>
        <w:t>Also, w</w:t>
      </w:r>
      <w:r w:rsidR="006B4F20" w:rsidRPr="00411803">
        <w:rPr>
          <w:sz w:val="24"/>
          <w:szCs w:val="24"/>
        </w:rPr>
        <w:t xml:space="preserve">e recommend the </w:t>
      </w:r>
      <w:r w:rsidR="00694C89">
        <w:rPr>
          <w:sz w:val="24"/>
          <w:szCs w:val="24"/>
        </w:rPr>
        <w:t xml:space="preserve">NAFSGL </w:t>
      </w:r>
      <w:r w:rsidR="00694C89" w:rsidRPr="00756B9C">
        <w:rPr>
          <w:sz w:val="24"/>
          <w:szCs w:val="24"/>
        </w:rPr>
        <w:t>(</w:t>
      </w:r>
      <w:r w:rsidR="004072F5" w:rsidRPr="00756B9C">
        <w:rPr>
          <w:sz w:val="24"/>
          <w:szCs w:val="24"/>
        </w:rPr>
        <w:t>Chart of Accounts</w:t>
      </w:r>
      <w:r w:rsidR="00694C89" w:rsidRPr="00756B9C">
        <w:rPr>
          <w:sz w:val="24"/>
          <w:szCs w:val="24"/>
        </w:rPr>
        <w:t>)</w:t>
      </w:r>
      <w:r w:rsidR="006B4F20" w:rsidRPr="00756B9C">
        <w:rPr>
          <w:sz w:val="24"/>
          <w:szCs w:val="24"/>
        </w:rPr>
        <w:t xml:space="preserve"> be </w:t>
      </w:r>
      <w:r w:rsidR="004072F5" w:rsidRPr="00756B9C">
        <w:rPr>
          <w:sz w:val="24"/>
          <w:szCs w:val="24"/>
        </w:rPr>
        <w:t>updated</w:t>
      </w:r>
      <w:r w:rsidR="009B5E4F" w:rsidRPr="00756B9C">
        <w:rPr>
          <w:sz w:val="24"/>
          <w:szCs w:val="24"/>
        </w:rPr>
        <w:t xml:space="preserve"> </w:t>
      </w:r>
      <w:r w:rsidR="006B4F20" w:rsidRPr="00756B9C">
        <w:rPr>
          <w:sz w:val="24"/>
          <w:szCs w:val="24"/>
        </w:rPr>
        <w:t xml:space="preserve">to </w:t>
      </w:r>
      <w:r w:rsidR="00C2510F" w:rsidRPr="00756B9C">
        <w:rPr>
          <w:sz w:val="24"/>
          <w:szCs w:val="24"/>
        </w:rPr>
        <w:t>define Restricted Cash as a legally-restricted asset account</w:t>
      </w:r>
      <w:r w:rsidR="004072F5" w:rsidRPr="00756B9C">
        <w:rPr>
          <w:sz w:val="24"/>
          <w:szCs w:val="24"/>
        </w:rPr>
        <w:t xml:space="preserve"> and Capital Projects Reserve as an optional reserve account for capital project funds that are not legally restricted</w:t>
      </w:r>
      <w:r w:rsidR="00C2510F" w:rsidRPr="00756B9C">
        <w:rPr>
          <w:sz w:val="24"/>
          <w:szCs w:val="24"/>
        </w:rPr>
        <w:t xml:space="preserve">. </w:t>
      </w:r>
    </w:p>
    <w:p w14:paraId="498780D6" w14:textId="06AE5ECB" w:rsidR="001F06DE" w:rsidRPr="00411803" w:rsidRDefault="001F06DE" w:rsidP="003A79D0">
      <w:pPr>
        <w:rPr>
          <w:sz w:val="24"/>
          <w:szCs w:val="24"/>
        </w:rPr>
      </w:pPr>
    </w:p>
    <w:p w14:paraId="6E665EFE" w14:textId="77777777" w:rsidR="006A5955" w:rsidRPr="00411803" w:rsidRDefault="006A5955" w:rsidP="006A5955">
      <w:pPr>
        <w:pStyle w:val="Heading1"/>
        <w:tabs>
          <w:tab w:val="left" w:pos="6675"/>
        </w:tabs>
        <w:ind w:left="-2160" w:firstLine="180"/>
        <w:rPr>
          <w:sz w:val="24"/>
          <w:szCs w:val="24"/>
        </w:rPr>
      </w:pPr>
      <w:r w:rsidRPr="00411803">
        <w:rPr>
          <w:sz w:val="24"/>
          <w:szCs w:val="24"/>
        </w:rPr>
        <w:t>Service Concurrence</w:t>
      </w:r>
    </w:p>
    <w:tbl>
      <w:tblPr>
        <w:tblStyle w:val="TableGrid"/>
        <w:tblW w:w="0" w:type="auto"/>
        <w:tblInd w:w="-1173" w:type="dxa"/>
        <w:tblLook w:val="04A0" w:firstRow="1" w:lastRow="0" w:firstColumn="1" w:lastColumn="0" w:noHBand="0" w:noVBand="1"/>
      </w:tblPr>
      <w:tblGrid>
        <w:gridCol w:w="2065"/>
        <w:gridCol w:w="2703"/>
        <w:gridCol w:w="8640"/>
      </w:tblGrid>
      <w:tr w:rsidR="006A5955" w:rsidRPr="002532FD" w14:paraId="2F5A9449" w14:textId="77777777" w:rsidTr="006645C4">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571A86" w14:textId="77777777" w:rsidR="006A5955" w:rsidRPr="00411803" w:rsidRDefault="006A5955" w:rsidP="003C3A5C">
            <w:pPr>
              <w:pStyle w:val="Heading1"/>
              <w:tabs>
                <w:tab w:val="left" w:pos="6675"/>
              </w:tabs>
              <w:jc w:val="center"/>
              <w:rPr>
                <w:rFonts w:asciiTheme="minorHAnsi" w:hAnsiTheme="minorHAnsi" w:cstheme="majorHAnsi"/>
                <w:color w:val="auto"/>
                <w:sz w:val="22"/>
              </w:rPr>
            </w:pPr>
            <w:r w:rsidRPr="00411803">
              <w:rPr>
                <w:rFonts w:asciiTheme="minorHAnsi" w:hAnsiTheme="minorHAnsi" w:cstheme="majorHAnsi"/>
                <w:color w:val="auto"/>
                <w:sz w:val="22"/>
              </w:rPr>
              <w:t>Service</w:t>
            </w:r>
          </w:p>
        </w:tc>
        <w:tc>
          <w:tcPr>
            <w:tcW w:w="2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18861" w14:textId="77777777" w:rsidR="006A5955" w:rsidRPr="00411803" w:rsidRDefault="006A5955" w:rsidP="003C3A5C">
            <w:pPr>
              <w:pStyle w:val="Heading1"/>
              <w:tabs>
                <w:tab w:val="left" w:pos="6675"/>
              </w:tabs>
              <w:jc w:val="center"/>
              <w:rPr>
                <w:rFonts w:asciiTheme="minorHAnsi" w:hAnsiTheme="minorHAnsi" w:cstheme="majorHAnsi"/>
                <w:color w:val="auto"/>
                <w:sz w:val="22"/>
              </w:rPr>
            </w:pPr>
            <w:r w:rsidRPr="00411803">
              <w:rPr>
                <w:rFonts w:asciiTheme="minorHAnsi" w:hAnsiTheme="minorHAnsi" w:cstheme="majorHAnsi"/>
                <w:color w:val="auto"/>
                <w:sz w:val="22"/>
              </w:rPr>
              <w:t>Concurrence</w:t>
            </w: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F9DB2F" w14:textId="77777777" w:rsidR="006A5955" w:rsidRPr="00411803" w:rsidRDefault="006A5955" w:rsidP="003C3A5C">
            <w:pPr>
              <w:pStyle w:val="Heading1"/>
              <w:tabs>
                <w:tab w:val="left" w:pos="6675"/>
              </w:tabs>
              <w:jc w:val="center"/>
              <w:rPr>
                <w:rFonts w:asciiTheme="minorHAnsi" w:hAnsiTheme="minorHAnsi" w:cstheme="majorHAnsi"/>
                <w:color w:val="auto"/>
                <w:sz w:val="22"/>
              </w:rPr>
            </w:pPr>
            <w:r w:rsidRPr="00411803">
              <w:rPr>
                <w:rFonts w:asciiTheme="minorHAnsi" w:hAnsiTheme="minorHAnsi" w:cstheme="majorHAnsi"/>
                <w:color w:val="auto"/>
                <w:sz w:val="22"/>
              </w:rPr>
              <w:t>Reason for Non</w:t>
            </w:r>
            <w:r w:rsidR="00E360CB" w:rsidRPr="00411803">
              <w:rPr>
                <w:rFonts w:asciiTheme="minorHAnsi" w:hAnsiTheme="minorHAnsi" w:cstheme="majorHAnsi"/>
                <w:color w:val="auto"/>
                <w:sz w:val="22"/>
              </w:rPr>
              <w:t>-</w:t>
            </w:r>
            <w:r w:rsidRPr="00411803">
              <w:rPr>
                <w:rFonts w:asciiTheme="minorHAnsi" w:hAnsiTheme="minorHAnsi" w:cstheme="majorHAnsi"/>
                <w:color w:val="auto"/>
                <w:sz w:val="22"/>
              </w:rPr>
              <w:t>concurrence</w:t>
            </w:r>
          </w:p>
        </w:tc>
      </w:tr>
      <w:tr w:rsidR="00F55F12" w14:paraId="42C7D66C" w14:textId="77777777" w:rsidTr="006645C4">
        <w:trPr>
          <w:trHeight w:val="444"/>
        </w:trPr>
        <w:tc>
          <w:tcPr>
            <w:tcW w:w="2065" w:type="dxa"/>
            <w:tcBorders>
              <w:top w:val="single" w:sz="4" w:space="0" w:color="auto"/>
              <w:left w:val="single" w:sz="4" w:space="0" w:color="auto"/>
              <w:bottom w:val="single" w:sz="4" w:space="0" w:color="auto"/>
              <w:right w:val="single" w:sz="4" w:space="0" w:color="auto"/>
            </w:tcBorders>
            <w:hideMark/>
          </w:tcPr>
          <w:p w14:paraId="40F771E3" w14:textId="77777777" w:rsidR="00F55F12" w:rsidRPr="00411803" w:rsidRDefault="00F55F12" w:rsidP="00F55F12">
            <w:pPr>
              <w:pStyle w:val="Heading1"/>
              <w:tabs>
                <w:tab w:val="left" w:pos="6675"/>
              </w:tabs>
              <w:rPr>
                <w:rFonts w:asciiTheme="minorHAnsi" w:hAnsiTheme="minorHAnsi" w:cstheme="majorHAnsi"/>
                <w:color w:val="auto"/>
                <w:sz w:val="22"/>
              </w:rPr>
            </w:pPr>
            <w:r w:rsidRPr="00411803">
              <w:rPr>
                <w:rFonts w:asciiTheme="minorHAnsi" w:hAnsiTheme="minorHAnsi" w:cstheme="majorHAnsi"/>
                <w:color w:val="auto"/>
                <w:sz w:val="22"/>
              </w:rPr>
              <w:t>Air Force</w:t>
            </w:r>
          </w:p>
        </w:tc>
        <w:tc>
          <w:tcPr>
            <w:tcW w:w="2703" w:type="dxa"/>
            <w:tcBorders>
              <w:top w:val="single" w:sz="4" w:space="0" w:color="auto"/>
              <w:left w:val="single" w:sz="4" w:space="0" w:color="auto"/>
              <w:bottom w:val="single" w:sz="4" w:space="0" w:color="auto"/>
              <w:right w:val="single" w:sz="4" w:space="0" w:color="auto"/>
            </w:tcBorders>
          </w:tcPr>
          <w:p w14:paraId="4A9A79CC" w14:textId="77777777" w:rsidR="006645C4" w:rsidRDefault="005B142B" w:rsidP="006645C4">
            <w:pPr>
              <w:pStyle w:val="Heading1"/>
              <w:tabs>
                <w:tab w:val="left" w:pos="6675"/>
              </w:tabs>
              <w:rPr>
                <w:rFonts w:asciiTheme="minorHAnsi" w:hAnsiTheme="minorHAnsi" w:cstheme="majorHAnsi"/>
                <w:color w:val="auto"/>
                <w:sz w:val="22"/>
              </w:rPr>
            </w:pPr>
            <w:r w:rsidRPr="00EF3D6C">
              <w:rPr>
                <w:rFonts w:asciiTheme="minorHAnsi" w:hAnsiTheme="minorHAnsi" w:cstheme="majorHAnsi"/>
                <w:color w:val="auto"/>
                <w:sz w:val="22"/>
              </w:rPr>
              <w:t>Concurre</w:t>
            </w:r>
            <w:r w:rsidR="006645C4">
              <w:rPr>
                <w:rFonts w:asciiTheme="minorHAnsi" w:hAnsiTheme="minorHAnsi" w:cstheme="majorHAnsi"/>
                <w:color w:val="auto"/>
                <w:sz w:val="22"/>
              </w:rPr>
              <w:t>nce in</w:t>
            </w:r>
            <w:r w:rsidRPr="00EF3D6C">
              <w:rPr>
                <w:rFonts w:asciiTheme="minorHAnsi" w:hAnsiTheme="minorHAnsi" w:cstheme="majorHAnsi"/>
                <w:color w:val="auto"/>
                <w:sz w:val="22"/>
              </w:rPr>
              <w:t xml:space="preserve"> 2014</w:t>
            </w:r>
            <w:r w:rsidR="006645C4">
              <w:rPr>
                <w:rFonts w:asciiTheme="minorHAnsi" w:hAnsiTheme="minorHAnsi" w:cstheme="majorHAnsi"/>
                <w:color w:val="auto"/>
                <w:sz w:val="22"/>
              </w:rPr>
              <w:t xml:space="preserve">. </w:t>
            </w:r>
          </w:p>
          <w:p w14:paraId="6FD8E23C" w14:textId="428D87AB" w:rsidR="00F55F12" w:rsidRPr="006645C4" w:rsidRDefault="006645C4" w:rsidP="006645C4">
            <w:pPr>
              <w:pStyle w:val="Heading1"/>
              <w:tabs>
                <w:tab w:val="left" w:pos="6675"/>
              </w:tabs>
              <w:rPr>
                <w:rFonts w:asciiTheme="minorHAnsi" w:hAnsiTheme="minorHAnsi" w:cstheme="majorHAnsi"/>
                <w:b/>
                <w:color w:val="auto"/>
                <w:sz w:val="22"/>
              </w:rPr>
            </w:pPr>
            <w:r w:rsidRPr="006645C4">
              <w:rPr>
                <w:rFonts w:asciiTheme="minorHAnsi" w:hAnsiTheme="minorHAnsi" w:cstheme="majorHAnsi"/>
                <w:b/>
                <w:color w:val="auto"/>
                <w:sz w:val="22"/>
              </w:rPr>
              <w:t>Re-concurred 10/19/2018.</w:t>
            </w:r>
          </w:p>
        </w:tc>
        <w:tc>
          <w:tcPr>
            <w:tcW w:w="8640" w:type="dxa"/>
            <w:tcBorders>
              <w:top w:val="single" w:sz="4" w:space="0" w:color="auto"/>
              <w:left w:val="single" w:sz="4" w:space="0" w:color="auto"/>
              <w:bottom w:val="single" w:sz="4" w:space="0" w:color="auto"/>
              <w:right w:val="single" w:sz="4" w:space="0" w:color="auto"/>
            </w:tcBorders>
          </w:tcPr>
          <w:p w14:paraId="6E6C10A7" w14:textId="77777777" w:rsidR="00F55F12" w:rsidRPr="00411803" w:rsidRDefault="00F55F12" w:rsidP="00F55F12">
            <w:pPr>
              <w:pStyle w:val="Heading1"/>
              <w:tabs>
                <w:tab w:val="left" w:pos="6675"/>
              </w:tabs>
              <w:rPr>
                <w:rFonts w:asciiTheme="minorHAnsi" w:hAnsiTheme="minorHAnsi" w:cstheme="majorHAnsi"/>
                <w:color w:val="auto"/>
                <w:sz w:val="22"/>
              </w:rPr>
            </w:pPr>
          </w:p>
        </w:tc>
      </w:tr>
      <w:tr w:rsidR="00F55F12" w14:paraId="1BD5B7BF" w14:textId="77777777" w:rsidTr="006645C4">
        <w:trPr>
          <w:trHeight w:val="426"/>
        </w:trPr>
        <w:tc>
          <w:tcPr>
            <w:tcW w:w="2065" w:type="dxa"/>
            <w:tcBorders>
              <w:top w:val="single" w:sz="4" w:space="0" w:color="auto"/>
              <w:left w:val="single" w:sz="4" w:space="0" w:color="auto"/>
              <w:bottom w:val="single" w:sz="4" w:space="0" w:color="auto"/>
              <w:right w:val="single" w:sz="4" w:space="0" w:color="auto"/>
            </w:tcBorders>
            <w:hideMark/>
          </w:tcPr>
          <w:p w14:paraId="0779BB8A" w14:textId="77777777" w:rsidR="00F55F12" w:rsidRPr="00411803" w:rsidRDefault="00F55F12" w:rsidP="00F55F12">
            <w:pPr>
              <w:pStyle w:val="Heading1"/>
              <w:tabs>
                <w:tab w:val="left" w:pos="6675"/>
              </w:tabs>
              <w:rPr>
                <w:rFonts w:asciiTheme="minorHAnsi" w:hAnsiTheme="minorHAnsi" w:cstheme="majorHAnsi"/>
                <w:color w:val="auto"/>
                <w:sz w:val="22"/>
              </w:rPr>
            </w:pPr>
            <w:r w:rsidRPr="00411803">
              <w:rPr>
                <w:rFonts w:asciiTheme="minorHAnsi" w:hAnsiTheme="minorHAnsi" w:cstheme="majorHAnsi"/>
                <w:color w:val="auto"/>
                <w:sz w:val="22"/>
              </w:rPr>
              <w:t>Army</w:t>
            </w:r>
          </w:p>
        </w:tc>
        <w:tc>
          <w:tcPr>
            <w:tcW w:w="2703" w:type="dxa"/>
            <w:tcBorders>
              <w:top w:val="single" w:sz="4" w:space="0" w:color="auto"/>
              <w:left w:val="single" w:sz="4" w:space="0" w:color="auto"/>
              <w:bottom w:val="single" w:sz="4" w:space="0" w:color="auto"/>
              <w:right w:val="single" w:sz="4" w:space="0" w:color="auto"/>
            </w:tcBorders>
          </w:tcPr>
          <w:p w14:paraId="3E441E95" w14:textId="77777777" w:rsidR="006645C4" w:rsidRDefault="005B142B" w:rsidP="006645C4">
            <w:pPr>
              <w:pStyle w:val="Heading1"/>
              <w:tabs>
                <w:tab w:val="left" w:pos="6675"/>
              </w:tabs>
              <w:rPr>
                <w:rFonts w:asciiTheme="minorHAnsi" w:hAnsiTheme="minorHAnsi" w:cstheme="majorHAnsi"/>
                <w:color w:val="auto"/>
                <w:sz w:val="22"/>
              </w:rPr>
            </w:pPr>
            <w:r w:rsidRPr="00EF3D6C">
              <w:rPr>
                <w:rFonts w:asciiTheme="minorHAnsi" w:hAnsiTheme="minorHAnsi" w:cstheme="majorHAnsi"/>
                <w:color w:val="auto"/>
                <w:sz w:val="22"/>
              </w:rPr>
              <w:t>Concurre</w:t>
            </w:r>
            <w:r w:rsidR="006645C4">
              <w:rPr>
                <w:rFonts w:asciiTheme="minorHAnsi" w:hAnsiTheme="minorHAnsi" w:cstheme="majorHAnsi"/>
                <w:color w:val="auto"/>
                <w:sz w:val="22"/>
              </w:rPr>
              <w:t xml:space="preserve">nce in </w:t>
            </w:r>
            <w:r w:rsidRPr="00EF3D6C">
              <w:rPr>
                <w:rFonts w:asciiTheme="minorHAnsi" w:hAnsiTheme="minorHAnsi" w:cstheme="majorHAnsi"/>
                <w:color w:val="auto"/>
                <w:sz w:val="22"/>
              </w:rPr>
              <w:t>2014</w:t>
            </w:r>
            <w:r w:rsidR="006645C4">
              <w:rPr>
                <w:rFonts w:asciiTheme="minorHAnsi" w:hAnsiTheme="minorHAnsi" w:cstheme="majorHAnsi"/>
                <w:color w:val="auto"/>
                <w:sz w:val="22"/>
              </w:rPr>
              <w:t>.</w:t>
            </w:r>
          </w:p>
          <w:p w14:paraId="641C497D" w14:textId="2BA02329" w:rsidR="00F55F12" w:rsidRPr="006645C4" w:rsidRDefault="006645C4" w:rsidP="006645C4">
            <w:pPr>
              <w:pStyle w:val="BodyText"/>
              <w:spacing w:after="0"/>
              <w:rPr>
                <w:b/>
              </w:rPr>
            </w:pPr>
            <w:r w:rsidRPr="006645C4">
              <w:rPr>
                <w:b/>
              </w:rPr>
              <w:t>Re-concurred 11/2/2018.</w:t>
            </w:r>
          </w:p>
        </w:tc>
        <w:tc>
          <w:tcPr>
            <w:tcW w:w="8640" w:type="dxa"/>
            <w:tcBorders>
              <w:top w:val="single" w:sz="4" w:space="0" w:color="auto"/>
              <w:left w:val="single" w:sz="4" w:space="0" w:color="auto"/>
              <w:bottom w:val="single" w:sz="4" w:space="0" w:color="auto"/>
              <w:right w:val="single" w:sz="4" w:space="0" w:color="auto"/>
            </w:tcBorders>
          </w:tcPr>
          <w:p w14:paraId="2C3C2EA2" w14:textId="77777777" w:rsidR="00F55F12" w:rsidRPr="00411803" w:rsidRDefault="00F55F12" w:rsidP="00F55F12">
            <w:pPr>
              <w:pStyle w:val="Heading1"/>
              <w:tabs>
                <w:tab w:val="left" w:pos="6675"/>
              </w:tabs>
              <w:rPr>
                <w:rFonts w:asciiTheme="minorHAnsi" w:hAnsiTheme="minorHAnsi" w:cstheme="majorHAnsi"/>
                <w:color w:val="auto"/>
                <w:sz w:val="22"/>
              </w:rPr>
            </w:pPr>
          </w:p>
        </w:tc>
      </w:tr>
      <w:tr w:rsidR="00F55F12" w14:paraId="786E58CE" w14:textId="77777777" w:rsidTr="006645C4">
        <w:trPr>
          <w:trHeight w:val="372"/>
        </w:trPr>
        <w:tc>
          <w:tcPr>
            <w:tcW w:w="2065" w:type="dxa"/>
            <w:tcBorders>
              <w:top w:val="single" w:sz="4" w:space="0" w:color="auto"/>
              <w:left w:val="single" w:sz="4" w:space="0" w:color="auto"/>
              <w:bottom w:val="single" w:sz="4" w:space="0" w:color="auto"/>
              <w:right w:val="single" w:sz="4" w:space="0" w:color="auto"/>
            </w:tcBorders>
            <w:hideMark/>
          </w:tcPr>
          <w:p w14:paraId="70F6EB62" w14:textId="77777777" w:rsidR="00F55F12" w:rsidRPr="00411803" w:rsidRDefault="00F55F12" w:rsidP="00F55F12">
            <w:pPr>
              <w:pStyle w:val="Heading1"/>
              <w:tabs>
                <w:tab w:val="left" w:pos="6675"/>
              </w:tabs>
              <w:rPr>
                <w:rFonts w:asciiTheme="minorHAnsi" w:hAnsiTheme="minorHAnsi" w:cstheme="majorHAnsi"/>
                <w:color w:val="auto"/>
                <w:sz w:val="22"/>
              </w:rPr>
            </w:pPr>
            <w:r w:rsidRPr="00411803">
              <w:rPr>
                <w:rFonts w:asciiTheme="minorHAnsi" w:hAnsiTheme="minorHAnsi" w:cstheme="majorHAnsi"/>
                <w:color w:val="auto"/>
                <w:sz w:val="22"/>
              </w:rPr>
              <w:t xml:space="preserve">Marines </w:t>
            </w:r>
          </w:p>
        </w:tc>
        <w:tc>
          <w:tcPr>
            <w:tcW w:w="2703" w:type="dxa"/>
            <w:tcBorders>
              <w:top w:val="single" w:sz="4" w:space="0" w:color="auto"/>
              <w:left w:val="single" w:sz="4" w:space="0" w:color="auto"/>
              <w:bottom w:val="single" w:sz="4" w:space="0" w:color="auto"/>
              <w:right w:val="single" w:sz="4" w:space="0" w:color="auto"/>
            </w:tcBorders>
          </w:tcPr>
          <w:p w14:paraId="0A6D5748" w14:textId="77777777" w:rsidR="006645C4" w:rsidRDefault="005B142B" w:rsidP="006645C4">
            <w:pPr>
              <w:pStyle w:val="Heading1"/>
              <w:tabs>
                <w:tab w:val="left" w:pos="6675"/>
              </w:tabs>
              <w:rPr>
                <w:rFonts w:asciiTheme="minorHAnsi" w:hAnsiTheme="minorHAnsi" w:cstheme="majorHAnsi"/>
                <w:color w:val="auto"/>
                <w:sz w:val="22"/>
              </w:rPr>
            </w:pPr>
            <w:r w:rsidRPr="00EF3D6C">
              <w:rPr>
                <w:rFonts w:asciiTheme="minorHAnsi" w:hAnsiTheme="minorHAnsi" w:cstheme="majorHAnsi"/>
                <w:color w:val="auto"/>
                <w:sz w:val="22"/>
              </w:rPr>
              <w:t>Concurre</w:t>
            </w:r>
            <w:r w:rsidR="006645C4">
              <w:rPr>
                <w:rFonts w:asciiTheme="minorHAnsi" w:hAnsiTheme="minorHAnsi" w:cstheme="majorHAnsi"/>
                <w:color w:val="auto"/>
                <w:sz w:val="22"/>
              </w:rPr>
              <w:t>nce in</w:t>
            </w:r>
            <w:r w:rsidRPr="00EF3D6C">
              <w:rPr>
                <w:rFonts w:asciiTheme="minorHAnsi" w:hAnsiTheme="minorHAnsi" w:cstheme="majorHAnsi"/>
                <w:color w:val="auto"/>
                <w:sz w:val="22"/>
              </w:rPr>
              <w:t xml:space="preserve"> 2014</w:t>
            </w:r>
            <w:r w:rsidR="006645C4">
              <w:rPr>
                <w:rFonts w:asciiTheme="minorHAnsi" w:hAnsiTheme="minorHAnsi" w:cstheme="majorHAnsi"/>
                <w:color w:val="auto"/>
                <w:sz w:val="22"/>
              </w:rPr>
              <w:t>.</w:t>
            </w:r>
          </w:p>
          <w:p w14:paraId="4BB0F601" w14:textId="581A910F" w:rsidR="00F55F12" w:rsidRPr="006645C4" w:rsidRDefault="006645C4" w:rsidP="006645C4">
            <w:pPr>
              <w:pStyle w:val="BodyText"/>
              <w:spacing w:after="0"/>
              <w:rPr>
                <w:b/>
              </w:rPr>
            </w:pPr>
            <w:r w:rsidRPr="006645C4">
              <w:rPr>
                <w:b/>
              </w:rPr>
              <w:t>Re-concurred 1/8/2019.</w:t>
            </w:r>
          </w:p>
        </w:tc>
        <w:tc>
          <w:tcPr>
            <w:tcW w:w="8640" w:type="dxa"/>
            <w:tcBorders>
              <w:top w:val="single" w:sz="4" w:space="0" w:color="auto"/>
              <w:left w:val="single" w:sz="4" w:space="0" w:color="auto"/>
              <w:bottom w:val="single" w:sz="4" w:space="0" w:color="auto"/>
              <w:right w:val="single" w:sz="4" w:space="0" w:color="auto"/>
            </w:tcBorders>
          </w:tcPr>
          <w:p w14:paraId="5EDA5150" w14:textId="77777777" w:rsidR="00F55F12" w:rsidRPr="00411803" w:rsidRDefault="00F55F12" w:rsidP="00F55F12">
            <w:pPr>
              <w:pStyle w:val="Heading1"/>
              <w:tabs>
                <w:tab w:val="left" w:pos="6675"/>
              </w:tabs>
              <w:rPr>
                <w:rFonts w:asciiTheme="minorHAnsi" w:hAnsiTheme="minorHAnsi" w:cstheme="majorHAnsi"/>
                <w:color w:val="auto"/>
                <w:sz w:val="22"/>
              </w:rPr>
            </w:pPr>
          </w:p>
        </w:tc>
      </w:tr>
      <w:tr w:rsidR="00F55F12" w14:paraId="0F9CD122" w14:textId="77777777" w:rsidTr="006645C4">
        <w:trPr>
          <w:trHeight w:val="426"/>
        </w:trPr>
        <w:tc>
          <w:tcPr>
            <w:tcW w:w="2065" w:type="dxa"/>
            <w:tcBorders>
              <w:top w:val="single" w:sz="4" w:space="0" w:color="auto"/>
              <w:left w:val="single" w:sz="4" w:space="0" w:color="auto"/>
              <w:bottom w:val="single" w:sz="4" w:space="0" w:color="auto"/>
              <w:right w:val="single" w:sz="4" w:space="0" w:color="auto"/>
            </w:tcBorders>
            <w:hideMark/>
          </w:tcPr>
          <w:p w14:paraId="3C51C282" w14:textId="77777777" w:rsidR="00F55F12" w:rsidRPr="00411803" w:rsidRDefault="00F55F12" w:rsidP="00F55F12">
            <w:pPr>
              <w:pStyle w:val="Heading1"/>
              <w:tabs>
                <w:tab w:val="left" w:pos="6675"/>
              </w:tabs>
              <w:rPr>
                <w:rFonts w:asciiTheme="minorHAnsi" w:hAnsiTheme="minorHAnsi" w:cstheme="majorHAnsi"/>
                <w:color w:val="auto"/>
                <w:sz w:val="22"/>
              </w:rPr>
            </w:pPr>
            <w:r w:rsidRPr="00411803">
              <w:rPr>
                <w:rFonts w:asciiTheme="minorHAnsi" w:hAnsiTheme="minorHAnsi" w:cstheme="majorHAnsi"/>
                <w:color w:val="auto"/>
                <w:sz w:val="22"/>
              </w:rPr>
              <w:t>Navy</w:t>
            </w:r>
          </w:p>
        </w:tc>
        <w:tc>
          <w:tcPr>
            <w:tcW w:w="2703" w:type="dxa"/>
            <w:tcBorders>
              <w:top w:val="single" w:sz="4" w:space="0" w:color="auto"/>
              <w:left w:val="single" w:sz="4" w:space="0" w:color="auto"/>
              <w:bottom w:val="single" w:sz="4" w:space="0" w:color="auto"/>
              <w:right w:val="single" w:sz="4" w:space="0" w:color="auto"/>
            </w:tcBorders>
          </w:tcPr>
          <w:p w14:paraId="1CF8D862" w14:textId="77777777" w:rsidR="006645C4" w:rsidRDefault="005B142B" w:rsidP="006645C4">
            <w:pPr>
              <w:pStyle w:val="Heading1"/>
              <w:tabs>
                <w:tab w:val="left" w:pos="6675"/>
              </w:tabs>
              <w:rPr>
                <w:rFonts w:asciiTheme="minorHAnsi" w:hAnsiTheme="minorHAnsi" w:cstheme="majorHAnsi"/>
                <w:color w:val="auto"/>
                <w:sz w:val="22"/>
              </w:rPr>
            </w:pPr>
            <w:r w:rsidRPr="00EF3D6C">
              <w:rPr>
                <w:rFonts w:asciiTheme="minorHAnsi" w:hAnsiTheme="minorHAnsi" w:cstheme="majorHAnsi"/>
                <w:color w:val="auto"/>
                <w:sz w:val="22"/>
              </w:rPr>
              <w:t>Concurre</w:t>
            </w:r>
            <w:r w:rsidR="006645C4">
              <w:rPr>
                <w:rFonts w:asciiTheme="minorHAnsi" w:hAnsiTheme="minorHAnsi" w:cstheme="majorHAnsi"/>
                <w:color w:val="auto"/>
                <w:sz w:val="22"/>
              </w:rPr>
              <w:t xml:space="preserve">nce in </w:t>
            </w:r>
            <w:r w:rsidRPr="00EF3D6C">
              <w:rPr>
                <w:rFonts w:asciiTheme="minorHAnsi" w:hAnsiTheme="minorHAnsi" w:cstheme="majorHAnsi"/>
                <w:color w:val="auto"/>
                <w:sz w:val="22"/>
              </w:rPr>
              <w:t>2014</w:t>
            </w:r>
            <w:r w:rsidR="006645C4">
              <w:rPr>
                <w:rFonts w:asciiTheme="minorHAnsi" w:hAnsiTheme="minorHAnsi" w:cstheme="majorHAnsi"/>
                <w:color w:val="auto"/>
                <w:sz w:val="22"/>
              </w:rPr>
              <w:t>.</w:t>
            </w:r>
          </w:p>
          <w:p w14:paraId="279FCFD1" w14:textId="2EFA2D84" w:rsidR="00F55F12" w:rsidRPr="006645C4" w:rsidRDefault="006645C4" w:rsidP="006645C4">
            <w:pPr>
              <w:pStyle w:val="BodyText"/>
              <w:spacing w:after="0"/>
              <w:rPr>
                <w:b/>
              </w:rPr>
            </w:pPr>
            <w:r w:rsidRPr="006645C4">
              <w:rPr>
                <w:b/>
              </w:rPr>
              <w:t>Re-concurred 6/21/2019.</w:t>
            </w:r>
          </w:p>
        </w:tc>
        <w:tc>
          <w:tcPr>
            <w:tcW w:w="8640" w:type="dxa"/>
            <w:tcBorders>
              <w:top w:val="single" w:sz="4" w:space="0" w:color="auto"/>
              <w:left w:val="single" w:sz="4" w:space="0" w:color="auto"/>
              <w:bottom w:val="single" w:sz="4" w:space="0" w:color="auto"/>
              <w:right w:val="single" w:sz="4" w:space="0" w:color="auto"/>
            </w:tcBorders>
          </w:tcPr>
          <w:p w14:paraId="38F44F8E" w14:textId="77777777" w:rsidR="00F55F12" w:rsidRPr="00411803" w:rsidRDefault="00F55F12" w:rsidP="00F55F12">
            <w:pPr>
              <w:pStyle w:val="Heading1"/>
              <w:tabs>
                <w:tab w:val="left" w:pos="6675"/>
              </w:tabs>
              <w:rPr>
                <w:rFonts w:asciiTheme="minorHAnsi" w:hAnsiTheme="minorHAnsi" w:cstheme="majorHAnsi"/>
                <w:color w:val="auto"/>
                <w:sz w:val="22"/>
              </w:rPr>
            </w:pPr>
          </w:p>
        </w:tc>
      </w:tr>
    </w:tbl>
    <w:p w14:paraId="6B8AAC16" w14:textId="77777777" w:rsidR="005B1472" w:rsidRPr="005B1472" w:rsidRDefault="005B1472" w:rsidP="002532FD">
      <w:pPr>
        <w:pStyle w:val="BodyText"/>
        <w:spacing w:after="0" w:line="240" w:lineRule="auto"/>
      </w:pPr>
    </w:p>
    <w:p w14:paraId="2A9E3D12" w14:textId="77777777" w:rsidR="00411803" w:rsidRDefault="00411803" w:rsidP="00411803">
      <w:pPr>
        <w:pStyle w:val="Heading1"/>
        <w:tabs>
          <w:tab w:val="left" w:pos="6675"/>
        </w:tabs>
        <w:ind w:left="-2160" w:firstLine="180"/>
        <w:rPr>
          <w:sz w:val="24"/>
        </w:rPr>
      </w:pPr>
      <w:r>
        <w:rPr>
          <w:sz w:val="24"/>
        </w:rPr>
        <w:t>USD(P&amp;R)/MC&amp;FP Disposition</w:t>
      </w:r>
    </w:p>
    <w:p w14:paraId="74D0C606" w14:textId="2F6B6ADC" w:rsidR="008C48FE" w:rsidRPr="00932F0A" w:rsidRDefault="008C48FE" w:rsidP="008C48FE">
      <w:pPr>
        <w:pStyle w:val="ChapterTitle"/>
        <w:rPr>
          <w:rFonts w:asciiTheme="minorHAnsi" w:hAnsiTheme="minorHAnsi"/>
          <w:b/>
          <w:color w:val="4F2D7F"/>
          <w:sz w:val="24"/>
        </w:rPr>
      </w:pPr>
      <w:r>
        <w:rPr>
          <w:rFonts w:ascii="Garamond" w:hAnsi="Garamond"/>
          <w:bCs w:val="0"/>
          <w:kern w:val="0"/>
          <w:sz w:val="24"/>
          <w:szCs w:val="20"/>
        </w:rPr>
        <w:t>Revise the NAFSGL.</w:t>
      </w:r>
    </w:p>
    <w:p w14:paraId="06ED88A9" w14:textId="39C50251" w:rsidR="00411803" w:rsidRPr="008C48FE" w:rsidRDefault="00411803" w:rsidP="008C48FE">
      <w:pPr>
        <w:pStyle w:val="Heading1"/>
        <w:tabs>
          <w:tab w:val="left" w:pos="6675"/>
        </w:tabs>
        <w:rPr>
          <w:rFonts w:ascii="Garamond" w:hAnsi="Garamond"/>
          <w:bCs w:val="0"/>
          <w:color w:val="auto"/>
          <w:kern w:val="0"/>
          <w:sz w:val="24"/>
          <w:szCs w:val="20"/>
        </w:rPr>
      </w:pPr>
    </w:p>
    <w:p w14:paraId="61A074DD" w14:textId="77777777" w:rsidR="00411803" w:rsidRDefault="00411803" w:rsidP="00411803">
      <w:pPr>
        <w:ind w:left="-1980"/>
        <w:rPr>
          <w:rFonts w:ascii="Arial Black" w:hAnsi="Arial Black"/>
          <w:b/>
          <w:color w:val="4F2D7F"/>
          <w:sz w:val="24"/>
        </w:rPr>
      </w:pPr>
      <w:r>
        <w:rPr>
          <w:rFonts w:ascii="Arial Black" w:hAnsi="Arial Black"/>
          <w:b/>
          <w:color w:val="4F2D7F"/>
          <w:sz w:val="24"/>
        </w:rPr>
        <w:t>DFAS Disposition</w:t>
      </w:r>
    </w:p>
    <w:p w14:paraId="5813DC1B" w14:textId="7EDB5862" w:rsidR="006645C4" w:rsidRPr="00932F0A" w:rsidRDefault="006645C4" w:rsidP="006645C4">
      <w:pPr>
        <w:pStyle w:val="ChapterTitle"/>
        <w:rPr>
          <w:rFonts w:asciiTheme="minorHAnsi" w:hAnsiTheme="minorHAnsi"/>
          <w:b/>
          <w:color w:val="4F2D7F"/>
          <w:sz w:val="24"/>
        </w:rPr>
      </w:pPr>
      <w:r>
        <w:rPr>
          <w:rFonts w:asciiTheme="minorHAnsi" w:hAnsiTheme="minorHAnsi"/>
          <w:sz w:val="24"/>
        </w:rPr>
        <w:t xml:space="preserve">Revise DoD FMR Volume </w:t>
      </w:r>
      <w:r w:rsidR="004D4D7E">
        <w:rPr>
          <w:rFonts w:asciiTheme="minorHAnsi" w:hAnsiTheme="minorHAnsi"/>
          <w:sz w:val="24"/>
        </w:rPr>
        <w:t>4</w:t>
      </w:r>
      <w:r>
        <w:rPr>
          <w:rFonts w:asciiTheme="minorHAnsi" w:hAnsiTheme="minorHAnsi"/>
          <w:sz w:val="24"/>
        </w:rPr>
        <w:t xml:space="preserve">, Chapter </w:t>
      </w:r>
      <w:r w:rsidR="004D4D7E">
        <w:rPr>
          <w:rFonts w:asciiTheme="minorHAnsi" w:hAnsiTheme="minorHAnsi"/>
          <w:sz w:val="24"/>
        </w:rPr>
        <w:t>1</w:t>
      </w:r>
      <w:r>
        <w:rPr>
          <w:rFonts w:asciiTheme="minorHAnsi" w:hAnsiTheme="minorHAnsi"/>
          <w:sz w:val="24"/>
        </w:rPr>
        <w:t>.</w:t>
      </w:r>
    </w:p>
    <w:p w14:paraId="78085437" w14:textId="77777777" w:rsidR="00411803" w:rsidRPr="007B3038" w:rsidRDefault="00411803" w:rsidP="00411803">
      <w:pPr>
        <w:rPr>
          <w:sz w:val="24"/>
        </w:rPr>
      </w:pPr>
      <w:r w:rsidRPr="007B3038">
        <w:rPr>
          <w:sz w:val="24"/>
        </w:rPr>
        <w:t xml:space="preserve">       </w:t>
      </w:r>
    </w:p>
    <w:p w14:paraId="7293AE2D" w14:textId="77777777" w:rsidR="00411803" w:rsidRDefault="00411803" w:rsidP="00411803">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7354D767" w14:textId="77777777" w:rsidR="006645C4" w:rsidRPr="00932F0A" w:rsidRDefault="006645C4" w:rsidP="006645C4">
      <w:pPr>
        <w:pStyle w:val="ChapterTitle"/>
        <w:rPr>
          <w:rFonts w:asciiTheme="minorHAnsi" w:hAnsiTheme="minorHAnsi"/>
          <w:sz w:val="24"/>
        </w:rPr>
      </w:pPr>
      <w:r w:rsidRPr="00932F0A">
        <w:rPr>
          <w:rFonts w:asciiTheme="minorHAnsi" w:hAnsiTheme="minorHAnsi"/>
          <w:sz w:val="24"/>
        </w:rPr>
        <w:t>No DoDIG equities</w:t>
      </w:r>
      <w:r>
        <w:rPr>
          <w:rFonts w:asciiTheme="minorHAnsi" w:hAnsiTheme="minorHAnsi"/>
          <w:sz w:val="24"/>
        </w:rPr>
        <w:t>.</w:t>
      </w:r>
    </w:p>
    <w:p w14:paraId="18D87605" w14:textId="77777777" w:rsidR="006645C4" w:rsidRPr="00F47C97" w:rsidRDefault="006645C4" w:rsidP="006645C4">
      <w:pPr>
        <w:pStyle w:val="Heading1"/>
        <w:tabs>
          <w:tab w:val="left" w:pos="6675"/>
        </w:tabs>
        <w:ind w:left="-2160" w:firstLine="180"/>
        <w:rPr>
          <w:sz w:val="24"/>
        </w:rPr>
      </w:pPr>
    </w:p>
    <w:p w14:paraId="268DD947" w14:textId="27F3EDF7" w:rsidR="00411803" w:rsidRDefault="00411803" w:rsidP="00411803">
      <w:pPr>
        <w:pStyle w:val="Heading1"/>
        <w:tabs>
          <w:tab w:val="left" w:pos="6675"/>
        </w:tabs>
        <w:rPr>
          <w:sz w:val="24"/>
        </w:rPr>
      </w:pPr>
    </w:p>
    <w:p w14:paraId="435D93F6" w14:textId="77777777" w:rsidR="002453C4" w:rsidRPr="00F47C97" w:rsidRDefault="002453C4" w:rsidP="002453C4">
      <w:pPr>
        <w:pStyle w:val="Heading1"/>
        <w:tabs>
          <w:tab w:val="left" w:pos="6675"/>
        </w:tabs>
        <w:ind w:left="-2160" w:firstLine="180"/>
        <w:rPr>
          <w:sz w:val="24"/>
        </w:rPr>
      </w:pPr>
    </w:p>
    <w:p w14:paraId="047BA6DC" w14:textId="77777777" w:rsidR="00422176" w:rsidRPr="00F47C97" w:rsidRDefault="00422176" w:rsidP="005B3096">
      <w:pPr>
        <w:rPr>
          <w:sz w:val="24"/>
        </w:rPr>
      </w:pPr>
    </w:p>
    <w:sectPr w:rsidR="00422176" w:rsidRPr="00F47C97" w:rsidSect="00411803">
      <w:headerReference w:type="default" r:id="rId11"/>
      <w:footerReference w:type="default" r:id="rId12"/>
      <w:pgSz w:w="15840" w:h="12240" w:orient="landscape" w:code="1"/>
      <w:pgMar w:top="1872" w:right="821" w:bottom="1152" w:left="2606"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EC45" w14:textId="77777777" w:rsidR="00D93490" w:rsidRDefault="00D93490">
      <w:r>
        <w:separator/>
      </w:r>
    </w:p>
  </w:endnote>
  <w:endnote w:type="continuationSeparator" w:id="0">
    <w:p w14:paraId="6400DCD1" w14:textId="77777777" w:rsidR="00D93490" w:rsidRDefault="00D9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3CB1C893" w14:textId="286A8682" w:rsidR="00916522" w:rsidRDefault="00834B9A" w:rsidP="00916522">
        <w:pPr>
          <w:pStyle w:val="Footer"/>
          <w:jc w:val="right"/>
          <w:rPr>
            <w:noProof/>
          </w:rPr>
        </w:pPr>
        <w:r>
          <w:fldChar w:fldCharType="begin"/>
        </w:r>
        <w:r>
          <w:instrText xml:space="preserve"> PAGE   \* MERGEFORMAT </w:instrText>
        </w:r>
        <w:r>
          <w:fldChar w:fldCharType="separate"/>
        </w:r>
        <w:r w:rsidR="00D464E4">
          <w:rPr>
            <w:noProof/>
          </w:rPr>
          <w:t>1</w:t>
        </w:r>
        <w:r>
          <w:rPr>
            <w:noProof/>
          </w:rPr>
          <w:fldChar w:fldCharType="end"/>
        </w:r>
      </w:p>
      <w:p w14:paraId="0B687876" w14:textId="40A62074" w:rsidR="00834B9A" w:rsidRDefault="00411803" w:rsidP="00916522">
        <w:pPr>
          <w:pStyle w:val="Footer"/>
          <w:jc w:val="right"/>
        </w:pPr>
        <w:r>
          <w:rPr>
            <w:noProof/>
          </w:rPr>
          <w:t>September 11</w:t>
        </w:r>
        <w:r w:rsidR="000F151E">
          <w:rPr>
            <w:noProof/>
          </w:rPr>
          <w:t>, 201</w:t>
        </w:r>
        <w:r w:rsidR="00BB6067">
          <w:rPr>
            <w:noProof/>
          </w:rPr>
          <w:t>8</w:t>
        </w:r>
      </w:p>
    </w:sdtContent>
  </w:sdt>
  <w:p w14:paraId="41E1FE2A"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8276" w14:textId="77777777" w:rsidR="00D93490" w:rsidRDefault="00D93490">
      <w:r>
        <w:separator/>
      </w:r>
    </w:p>
  </w:footnote>
  <w:footnote w:type="continuationSeparator" w:id="0">
    <w:p w14:paraId="49396E88" w14:textId="77777777" w:rsidR="00D93490" w:rsidRDefault="00D9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847C" w14:textId="77777777" w:rsidR="000417AF" w:rsidRDefault="000417AF" w:rsidP="00437683">
    <w:pPr>
      <w:pStyle w:val="Header"/>
      <w:jc w:val="center"/>
      <w:rPr>
        <w:rFonts w:asciiTheme="minorHAnsi" w:hAnsiTheme="minorHAnsi"/>
        <w:sz w:val="32"/>
      </w:rPr>
    </w:pPr>
    <w:r>
      <w:rPr>
        <w:rFonts w:asciiTheme="minorHAnsi" w:hAnsiTheme="minorHAnsi"/>
        <w:sz w:val="32"/>
      </w:rPr>
      <w:t>NAF Accounting Working Group</w:t>
    </w:r>
  </w:p>
  <w:p w14:paraId="260252C8" w14:textId="0F3C5B7F" w:rsidR="004E551B" w:rsidRDefault="00E3327F" w:rsidP="00437683">
    <w:pPr>
      <w:pStyle w:val="Header"/>
      <w:jc w:val="center"/>
      <w:rPr>
        <w:rFonts w:asciiTheme="minorHAnsi" w:hAnsiTheme="minorHAnsi"/>
        <w:sz w:val="32"/>
      </w:rPr>
    </w:pPr>
    <w:r>
      <w:rPr>
        <w:rFonts w:asciiTheme="minorHAnsi" w:hAnsiTheme="minorHAnsi"/>
        <w:sz w:val="32"/>
      </w:rPr>
      <w:t>Capital Project Accounting</w:t>
    </w:r>
  </w:p>
  <w:p w14:paraId="33F31ABD" w14:textId="6348486D" w:rsidR="00834B9A" w:rsidRPr="00437683" w:rsidRDefault="006B4F20" w:rsidP="00437683">
    <w:pPr>
      <w:pStyle w:val="Header"/>
      <w:jc w:val="center"/>
      <w:rPr>
        <w:rFonts w:asciiTheme="minorHAnsi" w:hAnsiTheme="minorHAnsi"/>
        <w:sz w:val="32"/>
      </w:rPr>
    </w:pPr>
    <w:r>
      <w:rPr>
        <w:rFonts w:asciiTheme="minorHAnsi" w:hAnsiTheme="minorHAnsi"/>
        <w:sz w:val="32"/>
      </w:rPr>
      <w:t xml:space="preserve">Position Paper </w:t>
    </w:r>
    <w:r w:rsidR="00471326">
      <w:rPr>
        <w:rFonts w:asciiTheme="minorHAnsi" w:hAnsiTheme="minorHAnsi"/>
        <w:sz w:val="32"/>
      </w:rPr>
      <w:t>#</w:t>
    </w:r>
    <w:r>
      <w:rPr>
        <w:rFonts w:asciiTheme="minorHAnsi" w:hAnsiTheme="minorHAnsi"/>
        <w:sz w:val="32"/>
      </w:rPr>
      <w:t>2</w:t>
    </w:r>
    <w:r w:rsidR="00E3327F">
      <w:rPr>
        <w:rFonts w:asciiTheme="minorHAnsi" w:hAnsiTheme="minorHAnsi"/>
        <w:sz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218B"/>
    <w:multiLevelType w:val="hybridMultilevel"/>
    <w:tmpl w:val="277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A0F6C"/>
    <w:multiLevelType w:val="hybridMultilevel"/>
    <w:tmpl w:val="9E24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4D05EF4"/>
    <w:multiLevelType w:val="hybridMultilevel"/>
    <w:tmpl w:val="E7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795878"/>
    <w:multiLevelType w:val="hybridMultilevel"/>
    <w:tmpl w:val="4B62602E"/>
    <w:lvl w:ilvl="0" w:tplc="15DC0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7"/>
  </w:num>
  <w:num w:numId="4">
    <w:abstractNumId w:val="3"/>
  </w:num>
  <w:num w:numId="5">
    <w:abstractNumId w:val="2"/>
  </w:num>
  <w:num w:numId="6">
    <w:abstractNumId w:val="1"/>
  </w:num>
  <w:num w:numId="7">
    <w:abstractNumId w:val="0"/>
  </w:num>
  <w:num w:numId="8">
    <w:abstractNumId w:val="11"/>
  </w:num>
  <w:num w:numId="9">
    <w:abstractNumId w:val="19"/>
  </w:num>
  <w:num w:numId="10">
    <w:abstractNumId w:val="16"/>
  </w:num>
  <w:num w:numId="11">
    <w:abstractNumId w:val="14"/>
  </w:num>
  <w:num w:numId="12">
    <w:abstractNumId w:val="18"/>
  </w:num>
  <w:num w:numId="13">
    <w:abstractNumId w:val="10"/>
  </w:num>
  <w:num w:numId="14">
    <w:abstractNumId w:val="13"/>
  </w:num>
  <w:num w:numId="15">
    <w:abstractNumId w:val="21"/>
  </w:num>
  <w:num w:numId="16">
    <w:abstractNumId w:val="5"/>
  </w:num>
  <w:num w:numId="17">
    <w:abstractNumId w:val="15"/>
  </w:num>
  <w:num w:numId="18">
    <w:abstractNumId w:val="30"/>
  </w:num>
  <w:num w:numId="19">
    <w:abstractNumId w:val="27"/>
  </w:num>
  <w:num w:numId="20">
    <w:abstractNumId w:val="20"/>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12"/>
  </w:num>
  <w:num w:numId="26">
    <w:abstractNumId w:val="22"/>
  </w:num>
  <w:num w:numId="27">
    <w:abstractNumId w:val="23"/>
  </w:num>
  <w:num w:numId="28">
    <w:abstractNumId w:val="26"/>
  </w:num>
  <w:num w:numId="29">
    <w:abstractNumId w:val="17"/>
  </w:num>
  <w:num w:numId="30">
    <w:abstractNumId w:val="6"/>
  </w:num>
  <w:num w:numId="31">
    <w:abstractNumId w:val="25"/>
  </w:num>
  <w:num w:numId="3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220D"/>
    <w:rsid w:val="00006441"/>
    <w:rsid w:val="000070EE"/>
    <w:rsid w:val="000230FF"/>
    <w:rsid w:val="00026805"/>
    <w:rsid w:val="00035DA4"/>
    <w:rsid w:val="000417AF"/>
    <w:rsid w:val="00042EDB"/>
    <w:rsid w:val="00054118"/>
    <w:rsid w:val="00054CDA"/>
    <w:rsid w:val="000564BF"/>
    <w:rsid w:val="00064594"/>
    <w:rsid w:val="00073655"/>
    <w:rsid w:val="00074688"/>
    <w:rsid w:val="00074A55"/>
    <w:rsid w:val="0009688F"/>
    <w:rsid w:val="000B3111"/>
    <w:rsid w:val="000B7433"/>
    <w:rsid w:val="000C7B49"/>
    <w:rsid w:val="000D09D8"/>
    <w:rsid w:val="000E0249"/>
    <w:rsid w:val="000E029A"/>
    <w:rsid w:val="000E43D8"/>
    <w:rsid w:val="000F151E"/>
    <w:rsid w:val="000F700D"/>
    <w:rsid w:val="001165C3"/>
    <w:rsid w:val="0012715F"/>
    <w:rsid w:val="00131C7C"/>
    <w:rsid w:val="00154B5B"/>
    <w:rsid w:val="00156EF7"/>
    <w:rsid w:val="00172E98"/>
    <w:rsid w:val="0019796C"/>
    <w:rsid w:val="001D1FE2"/>
    <w:rsid w:val="001D40C4"/>
    <w:rsid w:val="001D60FC"/>
    <w:rsid w:val="001E45B8"/>
    <w:rsid w:val="001E60EE"/>
    <w:rsid w:val="001E6F57"/>
    <w:rsid w:val="001F06DE"/>
    <w:rsid w:val="001F20AE"/>
    <w:rsid w:val="00200A58"/>
    <w:rsid w:val="00202660"/>
    <w:rsid w:val="002070EA"/>
    <w:rsid w:val="00213D94"/>
    <w:rsid w:val="002208F1"/>
    <w:rsid w:val="00226B1C"/>
    <w:rsid w:val="00231424"/>
    <w:rsid w:val="00244470"/>
    <w:rsid w:val="002453C4"/>
    <w:rsid w:val="002479EF"/>
    <w:rsid w:val="00250AAE"/>
    <w:rsid w:val="00250B79"/>
    <w:rsid w:val="0025321B"/>
    <w:rsid w:val="002532FD"/>
    <w:rsid w:val="00254FC0"/>
    <w:rsid w:val="00257D56"/>
    <w:rsid w:val="002627C6"/>
    <w:rsid w:val="00264B79"/>
    <w:rsid w:val="00266B80"/>
    <w:rsid w:val="0027260E"/>
    <w:rsid w:val="00277DC7"/>
    <w:rsid w:val="00281D8A"/>
    <w:rsid w:val="0028510B"/>
    <w:rsid w:val="002A5C61"/>
    <w:rsid w:val="002B1008"/>
    <w:rsid w:val="002B61C6"/>
    <w:rsid w:val="002C0344"/>
    <w:rsid w:val="002C131F"/>
    <w:rsid w:val="002F18F7"/>
    <w:rsid w:val="002F6648"/>
    <w:rsid w:val="0030084D"/>
    <w:rsid w:val="00302DDD"/>
    <w:rsid w:val="00305C57"/>
    <w:rsid w:val="0030628A"/>
    <w:rsid w:val="00321B80"/>
    <w:rsid w:val="003362E5"/>
    <w:rsid w:val="00336E12"/>
    <w:rsid w:val="00337DF9"/>
    <w:rsid w:val="00355277"/>
    <w:rsid w:val="00355524"/>
    <w:rsid w:val="00366B6E"/>
    <w:rsid w:val="00375E78"/>
    <w:rsid w:val="00385C84"/>
    <w:rsid w:val="00391BB7"/>
    <w:rsid w:val="003A07EA"/>
    <w:rsid w:val="003A7177"/>
    <w:rsid w:val="003A79D0"/>
    <w:rsid w:val="003B345C"/>
    <w:rsid w:val="003B793A"/>
    <w:rsid w:val="003C2426"/>
    <w:rsid w:val="003C3A14"/>
    <w:rsid w:val="003E019D"/>
    <w:rsid w:val="003E28A0"/>
    <w:rsid w:val="003E3CA8"/>
    <w:rsid w:val="003E7371"/>
    <w:rsid w:val="003F016B"/>
    <w:rsid w:val="003F1F45"/>
    <w:rsid w:val="0040063E"/>
    <w:rsid w:val="004072F5"/>
    <w:rsid w:val="00411803"/>
    <w:rsid w:val="004121C6"/>
    <w:rsid w:val="00422176"/>
    <w:rsid w:val="00422C4E"/>
    <w:rsid w:val="00430910"/>
    <w:rsid w:val="00433C47"/>
    <w:rsid w:val="00437683"/>
    <w:rsid w:val="0044428A"/>
    <w:rsid w:val="00447013"/>
    <w:rsid w:val="00466968"/>
    <w:rsid w:val="00471326"/>
    <w:rsid w:val="004A5CEB"/>
    <w:rsid w:val="004B04B3"/>
    <w:rsid w:val="004B1481"/>
    <w:rsid w:val="004C13D3"/>
    <w:rsid w:val="004C60DD"/>
    <w:rsid w:val="004D2C69"/>
    <w:rsid w:val="004D4D7E"/>
    <w:rsid w:val="004E456D"/>
    <w:rsid w:val="004E551B"/>
    <w:rsid w:val="004F3561"/>
    <w:rsid w:val="004F516D"/>
    <w:rsid w:val="00502C2A"/>
    <w:rsid w:val="005056DF"/>
    <w:rsid w:val="00505AD6"/>
    <w:rsid w:val="00520CE6"/>
    <w:rsid w:val="00520EF0"/>
    <w:rsid w:val="00531E3B"/>
    <w:rsid w:val="005445C4"/>
    <w:rsid w:val="00556680"/>
    <w:rsid w:val="0056384A"/>
    <w:rsid w:val="00564E9E"/>
    <w:rsid w:val="00574C0D"/>
    <w:rsid w:val="005750FA"/>
    <w:rsid w:val="005832BC"/>
    <w:rsid w:val="005863A1"/>
    <w:rsid w:val="00586697"/>
    <w:rsid w:val="00592EF4"/>
    <w:rsid w:val="005973E4"/>
    <w:rsid w:val="005A468B"/>
    <w:rsid w:val="005B142B"/>
    <w:rsid w:val="005B1472"/>
    <w:rsid w:val="005B3096"/>
    <w:rsid w:val="005B36B4"/>
    <w:rsid w:val="005B382E"/>
    <w:rsid w:val="005B4DF0"/>
    <w:rsid w:val="005C5121"/>
    <w:rsid w:val="005C6106"/>
    <w:rsid w:val="005D4A27"/>
    <w:rsid w:val="005D7123"/>
    <w:rsid w:val="005E549B"/>
    <w:rsid w:val="005F3D8E"/>
    <w:rsid w:val="005F4E22"/>
    <w:rsid w:val="00614C6D"/>
    <w:rsid w:val="00614F7A"/>
    <w:rsid w:val="00617250"/>
    <w:rsid w:val="006227D6"/>
    <w:rsid w:val="00634D8E"/>
    <w:rsid w:val="00653E4B"/>
    <w:rsid w:val="00655FDE"/>
    <w:rsid w:val="00656875"/>
    <w:rsid w:val="006645C4"/>
    <w:rsid w:val="0067006E"/>
    <w:rsid w:val="00674186"/>
    <w:rsid w:val="00677C39"/>
    <w:rsid w:val="00680AC5"/>
    <w:rsid w:val="006825CC"/>
    <w:rsid w:val="006864BB"/>
    <w:rsid w:val="00694C89"/>
    <w:rsid w:val="006950EF"/>
    <w:rsid w:val="006959C4"/>
    <w:rsid w:val="00696A22"/>
    <w:rsid w:val="006A3017"/>
    <w:rsid w:val="006A5955"/>
    <w:rsid w:val="006A661B"/>
    <w:rsid w:val="006A6C30"/>
    <w:rsid w:val="006B07F7"/>
    <w:rsid w:val="006B4F20"/>
    <w:rsid w:val="006B75A6"/>
    <w:rsid w:val="006C1360"/>
    <w:rsid w:val="006F2CB0"/>
    <w:rsid w:val="00702014"/>
    <w:rsid w:val="007075F7"/>
    <w:rsid w:val="00713DA9"/>
    <w:rsid w:val="00715C51"/>
    <w:rsid w:val="0072194C"/>
    <w:rsid w:val="00721E95"/>
    <w:rsid w:val="00725A45"/>
    <w:rsid w:val="00726EC1"/>
    <w:rsid w:val="00751242"/>
    <w:rsid w:val="0075260F"/>
    <w:rsid w:val="00753436"/>
    <w:rsid w:val="00756B9C"/>
    <w:rsid w:val="00757BEE"/>
    <w:rsid w:val="0076007B"/>
    <w:rsid w:val="00764AFF"/>
    <w:rsid w:val="00775C03"/>
    <w:rsid w:val="00793390"/>
    <w:rsid w:val="00795A0E"/>
    <w:rsid w:val="007A3A9C"/>
    <w:rsid w:val="007B05DE"/>
    <w:rsid w:val="007B1330"/>
    <w:rsid w:val="007B2CA1"/>
    <w:rsid w:val="007C4C86"/>
    <w:rsid w:val="007D3058"/>
    <w:rsid w:val="007D7156"/>
    <w:rsid w:val="007D75D3"/>
    <w:rsid w:val="007E0913"/>
    <w:rsid w:val="007F1DF7"/>
    <w:rsid w:val="007F5E33"/>
    <w:rsid w:val="007F6A23"/>
    <w:rsid w:val="0080326D"/>
    <w:rsid w:val="00804D1D"/>
    <w:rsid w:val="00811031"/>
    <w:rsid w:val="0082108C"/>
    <w:rsid w:val="0082211C"/>
    <w:rsid w:val="0082463C"/>
    <w:rsid w:val="00825615"/>
    <w:rsid w:val="00834B9A"/>
    <w:rsid w:val="00835D15"/>
    <w:rsid w:val="00850E2C"/>
    <w:rsid w:val="00852416"/>
    <w:rsid w:val="008612FE"/>
    <w:rsid w:val="00864837"/>
    <w:rsid w:val="00864B76"/>
    <w:rsid w:val="00884B99"/>
    <w:rsid w:val="00890CE5"/>
    <w:rsid w:val="00897B43"/>
    <w:rsid w:val="008A3F93"/>
    <w:rsid w:val="008A6680"/>
    <w:rsid w:val="008B37D7"/>
    <w:rsid w:val="008B51E6"/>
    <w:rsid w:val="008C2E4C"/>
    <w:rsid w:val="008C48FE"/>
    <w:rsid w:val="008D04CD"/>
    <w:rsid w:val="00900BD4"/>
    <w:rsid w:val="00903A0C"/>
    <w:rsid w:val="00916522"/>
    <w:rsid w:val="009176E5"/>
    <w:rsid w:val="009178E1"/>
    <w:rsid w:val="00922BDE"/>
    <w:rsid w:val="00922CE3"/>
    <w:rsid w:val="009321A5"/>
    <w:rsid w:val="0093411F"/>
    <w:rsid w:val="00936310"/>
    <w:rsid w:val="0093757F"/>
    <w:rsid w:val="00941D08"/>
    <w:rsid w:val="00945F67"/>
    <w:rsid w:val="00951C84"/>
    <w:rsid w:val="00962760"/>
    <w:rsid w:val="00963CF5"/>
    <w:rsid w:val="009728E5"/>
    <w:rsid w:val="0099726B"/>
    <w:rsid w:val="009B373B"/>
    <w:rsid w:val="009B476C"/>
    <w:rsid w:val="009B5E4F"/>
    <w:rsid w:val="009C0DE8"/>
    <w:rsid w:val="009E5112"/>
    <w:rsid w:val="00A07E9F"/>
    <w:rsid w:val="00A2741F"/>
    <w:rsid w:val="00A351E8"/>
    <w:rsid w:val="00A40E24"/>
    <w:rsid w:val="00A64C29"/>
    <w:rsid w:val="00A6596B"/>
    <w:rsid w:val="00A7516A"/>
    <w:rsid w:val="00A8285D"/>
    <w:rsid w:val="00A868E1"/>
    <w:rsid w:val="00A91C34"/>
    <w:rsid w:val="00AA7273"/>
    <w:rsid w:val="00AB36C0"/>
    <w:rsid w:val="00AB77EF"/>
    <w:rsid w:val="00AC06AF"/>
    <w:rsid w:val="00AC2CD2"/>
    <w:rsid w:val="00AD192A"/>
    <w:rsid w:val="00AF1753"/>
    <w:rsid w:val="00B01FA9"/>
    <w:rsid w:val="00B12B96"/>
    <w:rsid w:val="00B13DC6"/>
    <w:rsid w:val="00B15549"/>
    <w:rsid w:val="00B32748"/>
    <w:rsid w:val="00B3571B"/>
    <w:rsid w:val="00B410EB"/>
    <w:rsid w:val="00B41CD5"/>
    <w:rsid w:val="00B426FF"/>
    <w:rsid w:val="00B47E02"/>
    <w:rsid w:val="00B506B3"/>
    <w:rsid w:val="00B51FCD"/>
    <w:rsid w:val="00B54082"/>
    <w:rsid w:val="00B555AF"/>
    <w:rsid w:val="00B63743"/>
    <w:rsid w:val="00B72016"/>
    <w:rsid w:val="00B90DAD"/>
    <w:rsid w:val="00B936DA"/>
    <w:rsid w:val="00B97AAA"/>
    <w:rsid w:val="00BA0453"/>
    <w:rsid w:val="00BA2305"/>
    <w:rsid w:val="00BA5A26"/>
    <w:rsid w:val="00BB5F9B"/>
    <w:rsid w:val="00BB6067"/>
    <w:rsid w:val="00BC03AD"/>
    <w:rsid w:val="00BC370C"/>
    <w:rsid w:val="00BD1ADC"/>
    <w:rsid w:val="00BD40D1"/>
    <w:rsid w:val="00BD441B"/>
    <w:rsid w:val="00BD5653"/>
    <w:rsid w:val="00BD7E80"/>
    <w:rsid w:val="00BE7657"/>
    <w:rsid w:val="00BF0F06"/>
    <w:rsid w:val="00C05FE2"/>
    <w:rsid w:val="00C06A41"/>
    <w:rsid w:val="00C20748"/>
    <w:rsid w:val="00C2510F"/>
    <w:rsid w:val="00C26B8F"/>
    <w:rsid w:val="00C26E0E"/>
    <w:rsid w:val="00C30823"/>
    <w:rsid w:val="00C34EAD"/>
    <w:rsid w:val="00C46895"/>
    <w:rsid w:val="00C55B6E"/>
    <w:rsid w:val="00C57363"/>
    <w:rsid w:val="00C6570E"/>
    <w:rsid w:val="00C67082"/>
    <w:rsid w:val="00C910A7"/>
    <w:rsid w:val="00C91D86"/>
    <w:rsid w:val="00C92A90"/>
    <w:rsid w:val="00C94435"/>
    <w:rsid w:val="00CA14CA"/>
    <w:rsid w:val="00CA19A3"/>
    <w:rsid w:val="00CA44C4"/>
    <w:rsid w:val="00CA5B4C"/>
    <w:rsid w:val="00CB28DC"/>
    <w:rsid w:val="00CB43EB"/>
    <w:rsid w:val="00CE3414"/>
    <w:rsid w:val="00CE370F"/>
    <w:rsid w:val="00CE39FF"/>
    <w:rsid w:val="00CF260A"/>
    <w:rsid w:val="00CF293F"/>
    <w:rsid w:val="00CF79B3"/>
    <w:rsid w:val="00D021B1"/>
    <w:rsid w:val="00D0530D"/>
    <w:rsid w:val="00D12F3F"/>
    <w:rsid w:val="00D1410C"/>
    <w:rsid w:val="00D1455A"/>
    <w:rsid w:val="00D20DD2"/>
    <w:rsid w:val="00D245D6"/>
    <w:rsid w:val="00D37F78"/>
    <w:rsid w:val="00D464E4"/>
    <w:rsid w:val="00D53D16"/>
    <w:rsid w:val="00D5401D"/>
    <w:rsid w:val="00D54911"/>
    <w:rsid w:val="00D61861"/>
    <w:rsid w:val="00D71751"/>
    <w:rsid w:val="00D73931"/>
    <w:rsid w:val="00D7482F"/>
    <w:rsid w:val="00D853CE"/>
    <w:rsid w:val="00D93490"/>
    <w:rsid w:val="00D952E5"/>
    <w:rsid w:val="00DC1E9B"/>
    <w:rsid w:val="00DC6448"/>
    <w:rsid w:val="00DC7FDA"/>
    <w:rsid w:val="00DD005F"/>
    <w:rsid w:val="00DD32D2"/>
    <w:rsid w:val="00DD5DC6"/>
    <w:rsid w:val="00DE1F78"/>
    <w:rsid w:val="00DE346C"/>
    <w:rsid w:val="00DF662C"/>
    <w:rsid w:val="00E03F6C"/>
    <w:rsid w:val="00E105A0"/>
    <w:rsid w:val="00E17AAF"/>
    <w:rsid w:val="00E21DE5"/>
    <w:rsid w:val="00E3327F"/>
    <w:rsid w:val="00E360CB"/>
    <w:rsid w:val="00E46EBA"/>
    <w:rsid w:val="00E55085"/>
    <w:rsid w:val="00E61C20"/>
    <w:rsid w:val="00E749D0"/>
    <w:rsid w:val="00E76F55"/>
    <w:rsid w:val="00E82483"/>
    <w:rsid w:val="00E82A4B"/>
    <w:rsid w:val="00E86CD3"/>
    <w:rsid w:val="00E90A82"/>
    <w:rsid w:val="00E96F04"/>
    <w:rsid w:val="00EA5495"/>
    <w:rsid w:val="00EC3816"/>
    <w:rsid w:val="00EC39D8"/>
    <w:rsid w:val="00ED6A35"/>
    <w:rsid w:val="00EE0D2D"/>
    <w:rsid w:val="00EE2A66"/>
    <w:rsid w:val="00EE637D"/>
    <w:rsid w:val="00EF0A0B"/>
    <w:rsid w:val="00EF3D6C"/>
    <w:rsid w:val="00F056D3"/>
    <w:rsid w:val="00F05EBE"/>
    <w:rsid w:val="00F07668"/>
    <w:rsid w:val="00F07B6D"/>
    <w:rsid w:val="00F1231D"/>
    <w:rsid w:val="00F12969"/>
    <w:rsid w:val="00F1752B"/>
    <w:rsid w:val="00F21151"/>
    <w:rsid w:val="00F23625"/>
    <w:rsid w:val="00F26CD1"/>
    <w:rsid w:val="00F44314"/>
    <w:rsid w:val="00F44666"/>
    <w:rsid w:val="00F45570"/>
    <w:rsid w:val="00F46CB2"/>
    <w:rsid w:val="00F47B9A"/>
    <w:rsid w:val="00F50350"/>
    <w:rsid w:val="00F55B46"/>
    <w:rsid w:val="00F55F12"/>
    <w:rsid w:val="00F56DC3"/>
    <w:rsid w:val="00F57187"/>
    <w:rsid w:val="00F61A99"/>
    <w:rsid w:val="00F6431F"/>
    <w:rsid w:val="00F97F3F"/>
    <w:rsid w:val="00FA24D2"/>
    <w:rsid w:val="00FA723B"/>
    <w:rsid w:val="00FA77F1"/>
    <w:rsid w:val="00FB5AEE"/>
    <w:rsid w:val="00FB67C4"/>
    <w:rsid w:val="00FC20BB"/>
    <w:rsid w:val="00FC70BD"/>
    <w:rsid w:val="00FD0E99"/>
    <w:rsid w:val="00FD3716"/>
    <w:rsid w:val="00FD3D66"/>
    <w:rsid w:val="00FE3532"/>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96005C"/>
  <w15:docId w15:val="{1D0BB395-BCD5-4830-B412-34E3BD71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uiPriority w:val="99"/>
    <w:rsid w:val="00DD5DC6"/>
    <w:rPr>
      <w:rFonts w:ascii="Consolas" w:hAnsi="Consolas"/>
      <w:sz w:val="21"/>
      <w:szCs w:val="21"/>
    </w:rPr>
  </w:style>
  <w:style w:type="character" w:customStyle="1" w:styleId="PlainTextChar">
    <w:name w:val="Plain Text Char"/>
    <w:basedOn w:val="DefaultParagraphFont"/>
    <w:link w:val="PlainText"/>
    <w:uiPriority w:val="99"/>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armleftmargin000">
    <w:name w:val="arm_leftmargin_000"/>
    <w:basedOn w:val="Normal"/>
    <w:rsid w:val="00EA5495"/>
    <w:pPr>
      <w:spacing w:after="240"/>
    </w:pPr>
    <w:rPr>
      <w:rFonts w:ascii="Times New Roman" w:hAnsi="Times New Roman" w:cs="Times New Roman"/>
      <w:sz w:val="24"/>
      <w:szCs w:val="24"/>
    </w:rPr>
  </w:style>
  <w:style w:type="paragraph" w:customStyle="1" w:styleId="armleftmargin025">
    <w:name w:val="arm_leftmargin_025"/>
    <w:basedOn w:val="Normal"/>
    <w:rsid w:val="00EA5495"/>
    <w:pPr>
      <w:spacing w:after="240"/>
    </w:pPr>
    <w:rPr>
      <w:rFonts w:ascii="Times New Roman" w:hAnsi="Times New Roman" w:cs="Times New Roman"/>
      <w:sz w:val="24"/>
      <w:szCs w:val="24"/>
    </w:rPr>
  </w:style>
  <w:style w:type="character" w:customStyle="1" w:styleId="showsources3">
    <w:name w:val="showsources3"/>
    <w:basedOn w:val="DefaultParagraphFont"/>
    <w:rsid w:val="00EA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600531574">
      <w:bodyDiv w:val="1"/>
      <w:marLeft w:val="0"/>
      <w:marRight w:val="0"/>
      <w:marTop w:val="0"/>
      <w:marBottom w:val="0"/>
      <w:divBdr>
        <w:top w:val="none" w:sz="0" w:space="0" w:color="auto"/>
        <w:left w:val="none" w:sz="0" w:space="0" w:color="auto"/>
        <w:bottom w:val="none" w:sz="0" w:space="0" w:color="auto"/>
        <w:right w:val="none" w:sz="0" w:space="0" w:color="auto"/>
      </w:divBdr>
      <w:divsChild>
        <w:div w:id="2028478460">
          <w:marLeft w:val="0"/>
          <w:marRight w:val="0"/>
          <w:marTop w:val="0"/>
          <w:marBottom w:val="0"/>
          <w:divBdr>
            <w:top w:val="none" w:sz="0" w:space="0" w:color="auto"/>
            <w:left w:val="none" w:sz="0" w:space="0" w:color="auto"/>
            <w:bottom w:val="none" w:sz="0" w:space="0" w:color="auto"/>
            <w:right w:val="none" w:sz="0" w:space="0" w:color="auto"/>
          </w:divBdr>
          <w:divsChild>
            <w:div w:id="1150632671">
              <w:marLeft w:val="0"/>
              <w:marRight w:val="0"/>
              <w:marTop w:val="0"/>
              <w:marBottom w:val="0"/>
              <w:divBdr>
                <w:top w:val="none" w:sz="0" w:space="0" w:color="auto"/>
                <w:left w:val="none" w:sz="0" w:space="0" w:color="auto"/>
                <w:bottom w:val="none" w:sz="0" w:space="0" w:color="auto"/>
                <w:right w:val="none" w:sz="0" w:space="0" w:color="auto"/>
              </w:divBdr>
              <w:divsChild>
                <w:div w:id="961300040">
                  <w:marLeft w:val="0"/>
                  <w:marRight w:val="0"/>
                  <w:marTop w:val="0"/>
                  <w:marBottom w:val="0"/>
                  <w:divBdr>
                    <w:top w:val="none" w:sz="0" w:space="0" w:color="auto"/>
                    <w:left w:val="none" w:sz="0" w:space="0" w:color="auto"/>
                    <w:bottom w:val="none" w:sz="0" w:space="0" w:color="auto"/>
                    <w:right w:val="none" w:sz="0" w:space="0" w:color="auto"/>
                  </w:divBdr>
                  <w:divsChild>
                    <w:div w:id="762266663">
                      <w:marLeft w:val="-150"/>
                      <w:marRight w:val="-150"/>
                      <w:marTop w:val="0"/>
                      <w:marBottom w:val="0"/>
                      <w:divBdr>
                        <w:top w:val="none" w:sz="0" w:space="0" w:color="auto"/>
                        <w:left w:val="none" w:sz="0" w:space="0" w:color="auto"/>
                        <w:bottom w:val="none" w:sz="0" w:space="0" w:color="auto"/>
                        <w:right w:val="none" w:sz="0" w:space="0" w:color="auto"/>
                      </w:divBdr>
                      <w:divsChild>
                        <w:div w:id="872502032">
                          <w:marLeft w:val="0"/>
                          <w:marRight w:val="0"/>
                          <w:marTop w:val="0"/>
                          <w:marBottom w:val="0"/>
                          <w:divBdr>
                            <w:top w:val="none" w:sz="0" w:space="0" w:color="auto"/>
                            <w:left w:val="none" w:sz="0" w:space="0" w:color="auto"/>
                            <w:bottom w:val="none" w:sz="0" w:space="0" w:color="auto"/>
                            <w:right w:val="none" w:sz="0" w:space="0" w:color="auto"/>
                          </w:divBdr>
                          <w:divsChild>
                            <w:div w:id="16392406">
                              <w:marLeft w:val="0"/>
                              <w:marRight w:val="0"/>
                              <w:marTop w:val="0"/>
                              <w:marBottom w:val="0"/>
                              <w:divBdr>
                                <w:top w:val="none" w:sz="0" w:space="0" w:color="auto"/>
                                <w:left w:val="none" w:sz="0" w:space="0" w:color="auto"/>
                                <w:bottom w:val="none" w:sz="0" w:space="0" w:color="auto"/>
                                <w:right w:val="none" w:sz="0" w:space="0" w:color="auto"/>
                              </w:divBdr>
                              <w:divsChild>
                                <w:div w:id="2109502652">
                                  <w:marLeft w:val="0"/>
                                  <w:marRight w:val="0"/>
                                  <w:marTop w:val="0"/>
                                  <w:marBottom w:val="0"/>
                                  <w:divBdr>
                                    <w:top w:val="none" w:sz="0" w:space="0" w:color="auto"/>
                                    <w:left w:val="none" w:sz="0" w:space="0" w:color="auto"/>
                                    <w:bottom w:val="none" w:sz="0" w:space="0" w:color="auto"/>
                                    <w:right w:val="none" w:sz="0" w:space="0" w:color="auto"/>
                                  </w:divBdr>
                                  <w:divsChild>
                                    <w:div w:id="1360621025">
                                      <w:marLeft w:val="0"/>
                                      <w:marRight w:val="0"/>
                                      <w:marTop w:val="0"/>
                                      <w:marBottom w:val="0"/>
                                      <w:divBdr>
                                        <w:top w:val="none" w:sz="0" w:space="0" w:color="auto"/>
                                        <w:left w:val="none" w:sz="0" w:space="0" w:color="auto"/>
                                        <w:bottom w:val="none" w:sz="0" w:space="0" w:color="auto"/>
                                        <w:right w:val="none" w:sz="0" w:space="0" w:color="auto"/>
                                      </w:divBdr>
                                      <w:divsChild>
                                        <w:div w:id="433674332">
                                          <w:marLeft w:val="0"/>
                                          <w:marRight w:val="0"/>
                                          <w:marTop w:val="0"/>
                                          <w:marBottom w:val="0"/>
                                          <w:divBdr>
                                            <w:top w:val="none" w:sz="0" w:space="0" w:color="auto"/>
                                            <w:left w:val="none" w:sz="0" w:space="0" w:color="auto"/>
                                            <w:bottom w:val="none" w:sz="0" w:space="0" w:color="auto"/>
                                            <w:right w:val="none" w:sz="0" w:space="0" w:color="auto"/>
                                          </w:divBdr>
                                          <w:divsChild>
                                            <w:div w:id="1322125073">
                                              <w:marLeft w:val="0"/>
                                              <w:marRight w:val="0"/>
                                              <w:marTop w:val="0"/>
                                              <w:marBottom w:val="0"/>
                                              <w:divBdr>
                                                <w:top w:val="none" w:sz="0" w:space="0" w:color="auto"/>
                                                <w:left w:val="none" w:sz="0" w:space="0" w:color="auto"/>
                                                <w:bottom w:val="none" w:sz="0" w:space="0" w:color="auto"/>
                                                <w:right w:val="none" w:sz="0" w:space="0" w:color="auto"/>
                                              </w:divBdr>
                                              <w:divsChild>
                                                <w:div w:id="330111096">
                                                  <w:marLeft w:val="0"/>
                                                  <w:marRight w:val="0"/>
                                                  <w:marTop w:val="0"/>
                                                  <w:marBottom w:val="0"/>
                                                  <w:divBdr>
                                                    <w:top w:val="none" w:sz="0" w:space="0" w:color="auto"/>
                                                    <w:left w:val="none" w:sz="0" w:space="0" w:color="auto"/>
                                                    <w:bottom w:val="none" w:sz="0" w:space="0" w:color="auto"/>
                                                    <w:right w:val="none" w:sz="0" w:space="0" w:color="auto"/>
                                                  </w:divBdr>
                                                  <w:divsChild>
                                                    <w:div w:id="1732577821">
                                                      <w:marLeft w:val="0"/>
                                                      <w:marRight w:val="0"/>
                                                      <w:marTop w:val="0"/>
                                                      <w:marBottom w:val="0"/>
                                                      <w:divBdr>
                                                        <w:top w:val="none" w:sz="0" w:space="0" w:color="auto"/>
                                                        <w:left w:val="none" w:sz="0" w:space="0" w:color="auto"/>
                                                        <w:bottom w:val="none" w:sz="0" w:space="0" w:color="auto"/>
                                                        <w:right w:val="none" w:sz="0" w:space="0" w:color="auto"/>
                                                      </w:divBdr>
                                                      <w:divsChild>
                                                        <w:div w:id="18086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086672">
      <w:bodyDiv w:val="1"/>
      <w:marLeft w:val="0"/>
      <w:marRight w:val="0"/>
      <w:marTop w:val="0"/>
      <w:marBottom w:val="0"/>
      <w:divBdr>
        <w:top w:val="none" w:sz="0" w:space="0" w:color="auto"/>
        <w:left w:val="none" w:sz="0" w:space="0" w:color="auto"/>
        <w:bottom w:val="none" w:sz="0" w:space="0" w:color="auto"/>
        <w:right w:val="none" w:sz="0" w:space="0" w:color="auto"/>
      </w:divBdr>
    </w:div>
    <w:div w:id="1688553539">
      <w:bodyDiv w:val="1"/>
      <w:marLeft w:val="0"/>
      <w:marRight w:val="0"/>
      <w:marTop w:val="0"/>
      <w:marBottom w:val="0"/>
      <w:divBdr>
        <w:top w:val="none" w:sz="0" w:space="0" w:color="auto"/>
        <w:left w:val="none" w:sz="0" w:space="0" w:color="auto"/>
        <w:bottom w:val="none" w:sz="0" w:space="0" w:color="auto"/>
        <w:right w:val="none" w:sz="0" w:space="0" w:color="auto"/>
      </w:divBdr>
      <w:divsChild>
        <w:div w:id="530457415">
          <w:marLeft w:val="0"/>
          <w:marRight w:val="0"/>
          <w:marTop w:val="0"/>
          <w:marBottom w:val="0"/>
          <w:divBdr>
            <w:top w:val="none" w:sz="0" w:space="0" w:color="auto"/>
            <w:left w:val="none" w:sz="0" w:space="0" w:color="auto"/>
            <w:bottom w:val="none" w:sz="0" w:space="0" w:color="auto"/>
            <w:right w:val="none" w:sz="0" w:space="0" w:color="auto"/>
          </w:divBdr>
          <w:divsChild>
            <w:div w:id="1406873991">
              <w:marLeft w:val="0"/>
              <w:marRight w:val="0"/>
              <w:marTop w:val="0"/>
              <w:marBottom w:val="0"/>
              <w:divBdr>
                <w:top w:val="none" w:sz="0" w:space="0" w:color="auto"/>
                <w:left w:val="none" w:sz="0" w:space="0" w:color="auto"/>
                <w:bottom w:val="none" w:sz="0" w:space="0" w:color="auto"/>
                <w:right w:val="none" w:sz="0" w:space="0" w:color="auto"/>
              </w:divBdr>
              <w:divsChild>
                <w:div w:id="1593585202">
                  <w:marLeft w:val="0"/>
                  <w:marRight w:val="0"/>
                  <w:marTop w:val="0"/>
                  <w:marBottom w:val="0"/>
                  <w:divBdr>
                    <w:top w:val="none" w:sz="0" w:space="0" w:color="auto"/>
                    <w:left w:val="none" w:sz="0" w:space="0" w:color="auto"/>
                    <w:bottom w:val="none" w:sz="0" w:space="0" w:color="auto"/>
                    <w:right w:val="none" w:sz="0" w:space="0" w:color="auto"/>
                  </w:divBdr>
                  <w:divsChild>
                    <w:div w:id="1260990543">
                      <w:marLeft w:val="-150"/>
                      <w:marRight w:val="-150"/>
                      <w:marTop w:val="0"/>
                      <w:marBottom w:val="0"/>
                      <w:divBdr>
                        <w:top w:val="none" w:sz="0" w:space="0" w:color="auto"/>
                        <w:left w:val="none" w:sz="0" w:space="0" w:color="auto"/>
                        <w:bottom w:val="none" w:sz="0" w:space="0" w:color="auto"/>
                        <w:right w:val="none" w:sz="0" w:space="0" w:color="auto"/>
                      </w:divBdr>
                      <w:divsChild>
                        <w:div w:id="1900901176">
                          <w:marLeft w:val="0"/>
                          <w:marRight w:val="0"/>
                          <w:marTop w:val="0"/>
                          <w:marBottom w:val="0"/>
                          <w:divBdr>
                            <w:top w:val="none" w:sz="0" w:space="0" w:color="auto"/>
                            <w:left w:val="none" w:sz="0" w:space="0" w:color="auto"/>
                            <w:bottom w:val="none" w:sz="0" w:space="0" w:color="auto"/>
                            <w:right w:val="none" w:sz="0" w:space="0" w:color="auto"/>
                          </w:divBdr>
                          <w:divsChild>
                            <w:div w:id="457341560">
                              <w:marLeft w:val="0"/>
                              <w:marRight w:val="0"/>
                              <w:marTop w:val="0"/>
                              <w:marBottom w:val="0"/>
                              <w:divBdr>
                                <w:top w:val="none" w:sz="0" w:space="0" w:color="auto"/>
                                <w:left w:val="none" w:sz="0" w:space="0" w:color="auto"/>
                                <w:bottom w:val="none" w:sz="0" w:space="0" w:color="auto"/>
                                <w:right w:val="none" w:sz="0" w:space="0" w:color="auto"/>
                              </w:divBdr>
                              <w:divsChild>
                                <w:div w:id="1841775444">
                                  <w:marLeft w:val="0"/>
                                  <w:marRight w:val="0"/>
                                  <w:marTop w:val="0"/>
                                  <w:marBottom w:val="0"/>
                                  <w:divBdr>
                                    <w:top w:val="none" w:sz="0" w:space="0" w:color="auto"/>
                                    <w:left w:val="none" w:sz="0" w:space="0" w:color="auto"/>
                                    <w:bottom w:val="none" w:sz="0" w:space="0" w:color="auto"/>
                                    <w:right w:val="none" w:sz="0" w:space="0" w:color="auto"/>
                                  </w:divBdr>
                                  <w:divsChild>
                                    <w:div w:id="730344320">
                                      <w:marLeft w:val="0"/>
                                      <w:marRight w:val="0"/>
                                      <w:marTop w:val="0"/>
                                      <w:marBottom w:val="0"/>
                                      <w:divBdr>
                                        <w:top w:val="none" w:sz="0" w:space="0" w:color="auto"/>
                                        <w:left w:val="none" w:sz="0" w:space="0" w:color="auto"/>
                                        <w:bottom w:val="none" w:sz="0" w:space="0" w:color="auto"/>
                                        <w:right w:val="none" w:sz="0" w:space="0" w:color="auto"/>
                                      </w:divBdr>
                                      <w:divsChild>
                                        <w:div w:id="1713921515">
                                          <w:marLeft w:val="0"/>
                                          <w:marRight w:val="0"/>
                                          <w:marTop w:val="0"/>
                                          <w:marBottom w:val="0"/>
                                          <w:divBdr>
                                            <w:top w:val="none" w:sz="0" w:space="0" w:color="auto"/>
                                            <w:left w:val="none" w:sz="0" w:space="0" w:color="auto"/>
                                            <w:bottom w:val="none" w:sz="0" w:space="0" w:color="auto"/>
                                            <w:right w:val="none" w:sz="0" w:space="0" w:color="auto"/>
                                          </w:divBdr>
                                          <w:divsChild>
                                            <w:div w:id="1703093303">
                                              <w:marLeft w:val="0"/>
                                              <w:marRight w:val="0"/>
                                              <w:marTop w:val="0"/>
                                              <w:marBottom w:val="0"/>
                                              <w:divBdr>
                                                <w:top w:val="none" w:sz="0" w:space="0" w:color="auto"/>
                                                <w:left w:val="none" w:sz="0" w:space="0" w:color="auto"/>
                                                <w:bottom w:val="none" w:sz="0" w:space="0" w:color="auto"/>
                                                <w:right w:val="none" w:sz="0" w:space="0" w:color="auto"/>
                                              </w:divBdr>
                                              <w:divsChild>
                                                <w:div w:id="1184055496">
                                                  <w:marLeft w:val="0"/>
                                                  <w:marRight w:val="0"/>
                                                  <w:marTop w:val="0"/>
                                                  <w:marBottom w:val="0"/>
                                                  <w:divBdr>
                                                    <w:top w:val="none" w:sz="0" w:space="0" w:color="auto"/>
                                                    <w:left w:val="none" w:sz="0" w:space="0" w:color="auto"/>
                                                    <w:bottom w:val="none" w:sz="0" w:space="0" w:color="auto"/>
                                                    <w:right w:val="none" w:sz="0" w:space="0" w:color="auto"/>
                                                  </w:divBdr>
                                                  <w:divsChild>
                                                    <w:div w:id="1095132696">
                                                      <w:marLeft w:val="0"/>
                                                      <w:marRight w:val="0"/>
                                                      <w:marTop w:val="0"/>
                                                      <w:marBottom w:val="0"/>
                                                      <w:divBdr>
                                                        <w:top w:val="none" w:sz="0" w:space="0" w:color="auto"/>
                                                        <w:left w:val="none" w:sz="0" w:space="0" w:color="auto"/>
                                                        <w:bottom w:val="none" w:sz="0" w:space="0" w:color="auto"/>
                                                        <w:right w:val="none" w:sz="0" w:space="0" w:color="auto"/>
                                                      </w:divBdr>
                                                      <w:divsChild>
                                                        <w:div w:id="809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FE9F-2BCE-4FB6-81C9-1246A53CD369}">
  <ds:schemaRefs>
    <ds:schemaRef ds:uri="http://schemas.microsoft.com/sharepoint/v3/contenttype/forms"/>
  </ds:schemaRefs>
</ds:datastoreItem>
</file>

<file path=customXml/itemProps2.xml><?xml version="1.0" encoding="utf-8"?>
<ds:datastoreItem xmlns:ds="http://schemas.openxmlformats.org/officeDocument/2006/customXml" ds:itemID="{C2D62154-589A-4B4A-BF3F-CBED4D02667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C423448-95D6-4874-9A2B-CD415A1D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11BD81-2C5A-4D2B-AA9E-725D6468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2</cp:revision>
  <cp:lastPrinted>2018-06-27T20:13:00Z</cp:lastPrinted>
  <dcterms:created xsi:type="dcterms:W3CDTF">2019-08-20T20:14:00Z</dcterms:created>
  <dcterms:modified xsi:type="dcterms:W3CDTF">2019-08-20T20:14:00Z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